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2438"/>
        <w:gridCol w:w="6406"/>
      </w:tblGrid>
      <w:tr w:rsidR="00CE544A" w:rsidRPr="00975B07" w14:paraId="0C5AEF13" w14:textId="77777777" w:rsidTr="005F7F7E">
        <w:tc>
          <w:tcPr>
            <w:tcW w:w="2438" w:type="dxa"/>
            <w:shd w:val="clear" w:color="auto" w:fill="auto"/>
          </w:tcPr>
          <w:p w14:paraId="622C27C5"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52FE99B1" w14:textId="77777777" w:rsidR="00F445B1" w:rsidRPr="00F95BC9" w:rsidRDefault="00DB7AD7" w:rsidP="004A6D2F">
            <w:pPr>
              <w:rPr>
                <w:rStyle w:val="Firstpagetablebold"/>
              </w:rPr>
            </w:pPr>
            <w:r>
              <w:rPr>
                <w:rStyle w:val="Firstpagetablebold"/>
              </w:rPr>
              <w:t>Cabinet</w:t>
            </w:r>
          </w:p>
        </w:tc>
      </w:tr>
      <w:tr w:rsidR="00CE544A" w:rsidRPr="00975B07" w14:paraId="54FEC4E1" w14:textId="77777777" w:rsidTr="005F7F7E">
        <w:tc>
          <w:tcPr>
            <w:tcW w:w="2438" w:type="dxa"/>
            <w:shd w:val="clear" w:color="auto" w:fill="auto"/>
          </w:tcPr>
          <w:p w14:paraId="1792623A"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5CF18FE" w14:textId="77777777" w:rsidR="00F445B1" w:rsidRPr="001356F1" w:rsidRDefault="00B7640C" w:rsidP="00497C74">
            <w:pPr>
              <w:rPr>
                <w:b/>
              </w:rPr>
            </w:pPr>
            <w:r w:rsidRPr="00B055B5">
              <w:rPr>
                <w:rStyle w:val="Firstpagetablebold"/>
                <w:color w:val="auto"/>
              </w:rPr>
              <w:t>1</w:t>
            </w:r>
            <w:r w:rsidR="00497C74" w:rsidRPr="00B055B5">
              <w:rPr>
                <w:rStyle w:val="Firstpagetablebold"/>
                <w:color w:val="auto"/>
              </w:rPr>
              <w:t>4</w:t>
            </w:r>
            <w:r w:rsidRPr="00B055B5">
              <w:rPr>
                <w:rStyle w:val="Firstpagetablebold"/>
                <w:color w:val="auto"/>
              </w:rPr>
              <w:t xml:space="preserve"> </w:t>
            </w:r>
            <w:r w:rsidR="00C1237E" w:rsidRPr="00B055B5">
              <w:rPr>
                <w:rStyle w:val="Firstpagetablebold"/>
                <w:color w:val="auto"/>
              </w:rPr>
              <w:t>April 2021</w:t>
            </w:r>
          </w:p>
        </w:tc>
      </w:tr>
      <w:tr w:rsidR="00CE544A" w:rsidRPr="00975B07" w14:paraId="62056C40" w14:textId="77777777" w:rsidTr="005F7F7E">
        <w:tc>
          <w:tcPr>
            <w:tcW w:w="2438" w:type="dxa"/>
            <w:shd w:val="clear" w:color="auto" w:fill="auto"/>
          </w:tcPr>
          <w:p w14:paraId="4CD3C833"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73B42BE9" w14:textId="77777777" w:rsidR="00F445B1" w:rsidRPr="001356F1" w:rsidRDefault="00C1237E" w:rsidP="004A6D2F">
            <w:pPr>
              <w:rPr>
                <w:rStyle w:val="Firstpagetablebold"/>
              </w:rPr>
            </w:pPr>
            <w:r>
              <w:rPr>
                <w:rStyle w:val="Firstpagetablebold"/>
              </w:rPr>
              <w:t>Head of Housing Services</w:t>
            </w:r>
          </w:p>
        </w:tc>
      </w:tr>
      <w:tr w:rsidR="00CE544A" w:rsidRPr="00975B07" w14:paraId="4715B4BF" w14:textId="77777777" w:rsidTr="005F7F7E">
        <w:tc>
          <w:tcPr>
            <w:tcW w:w="2438" w:type="dxa"/>
            <w:shd w:val="clear" w:color="auto" w:fill="auto"/>
          </w:tcPr>
          <w:p w14:paraId="0516AE97"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52349A71" w14:textId="77777777" w:rsidR="00F445B1" w:rsidRPr="001356F1" w:rsidRDefault="00C1237E" w:rsidP="004A6D2F">
            <w:pPr>
              <w:rPr>
                <w:rStyle w:val="Firstpagetablebold"/>
              </w:rPr>
            </w:pPr>
            <w:r>
              <w:rPr>
                <w:rStyle w:val="Firstpagetablebold"/>
              </w:rPr>
              <w:t>Furnished Tenancy Scheme</w:t>
            </w:r>
          </w:p>
        </w:tc>
      </w:tr>
    </w:tbl>
    <w:p w14:paraId="26C3D91B"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5F16516D" w14:textId="77777777" w:rsidTr="0080749A">
        <w:tc>
          <w:tcPr>
            <w:tcW w:w="8845" w:type="dxa"/>
            <w:gridSpan w:val="3"/>
            <w:tcBorders>
              <w:bottom w:val="single" w:sz="8" w:space="0" w:color="000000"/>
            </w:tcBorders>
            <w:hideMark/>
          </w:tcPr>
          <w:p w14:paraId="426CB2DB"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2099FBD9" w14:textId="77777777" w:rsidTr="0080749A">
        <w:tc>
          <w:tcPr>
            <w:tcW w:w="2438" w:type="dxa"/>
            <w:gridSpan w:val="2"/>
            <w:tcBorders>
              <w:top w:val="single" w:sz="8" w:space="0" w:color="000000"/>
              <w:left w:val="single" w:sz="8" w:space="0" w:color="000000"/>
              <w:bottom w:val="nil"/>
              <w:right w:val="nil"/>
            </w:tcBorders>
            <w:hideMark/>
          </w:tcPr>
          <w:p w14:paraId="763EA294"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BEFFBC1" w14:textId="77777777" w:rsidR="00D5547E" w:rsidRPr="001356F1" w:rsidRDefault="00C1237E" w:rsidP="002D4396">
            <w:r>
              <w:t xml:space="preserve">To </w:t>
            </w:r>
            <w:r w:rsidRPr="00A3218F">
              <w:rPr>
                <w:color w:val="auto"/>
              </w:rPr>
              <w:t xml:space="preserve">seek </w:t>
            </w:r>
            <w:r w:rsidR="002D4396">
              <w:rPr>
                <w:color w:val="auto"/>
              </w:rPr>
              <w:t>authority to procure</w:t>
            </w:r>
            <w:r w:rsidR="001A5DD0" w:rsidRPr="00A3218F">
              <w:rPr>
                <w:color w:val="auto"/>
              </w:rPr>
              <w:t xml:space="preserve"> and </w:t>
            </w:r>
            <w:r>
              <w:t>delegation to award a contract to deliver the Council’s Furnished Tenancy Scheme</w:t>
            </w:r>
          </w:p>
        </w:tc>
      </w:tr>
      <w:tr w:rsidR="00D5547E" w14:paraId="45167705" w14:textId="77777777" w:rsidTr="0080749A">
        <w:tc>
          <w:tcPr>
            <w:tcW w:w="2438" w:type="dxa"/>
            <w:gridSpan w:val="2"/>
            <w:tcBorders>
              <w:top w:val="nil"/>
              <w:left w:val="single" w:sz="8" w:space="0" w:color="000000"/>
              <w:bottom w:val="nil"/>
              <w:right w:val="nil"/>
            </w:tcBorders>
            <w:hideMark/>
          </w:tcPr>
          <w:p w14:paraId="4E5F7A6A"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3FE81265" w14:textId="77777777" w:rsidR="00D5547E" w:rsidRPr="001356F1" w:rsidRDefault="00D5547E" w:rsidP="00C1237E">
            <w:r w:rsidRPr="001356F1">
              <w:t xml:space="preserve">Yes </w:t>
            </w:r>
          </w:p>
        </w:tc>
      </w:tr>
      <w:tr w:rsidR="00D5547E" w14:paraId="601B4248" w14:textId="77777777" w:rsidTr="0080749A">
        <w:tc>
          <w:tcPr>
            <w:tcW w:w="2438" w:type="dxa"/>
            <w:gridSpan w:val="2"/>
            <w:tcBorders>
              <w:top w:val="nil"/>
              <w:left w:val="single" w:sz="8" w:space="0" w:color="000000"/>
              <w:bottom w:val="nil"/>
              <w:right w:val="nil"/>
            </w:tcBorders>
            <w:hideMark/>
          </w:tcPr>
          <w:p w14:paraId="09E0DBDA"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125EF64A" w14:textId="77777777" w:rsidR="00D5547E" w:rsidRPr="001356F1" w:rsidRDefault="00B21150" w:rsidP="005F7F7E">
            <w:r>
              <w:t>Councillor Mike Rowley Cabinet Member for Affordable Housing and Housing the Homeless</w:t>
            </w:r>
          </w:p>
        </w:tc>
      </w:tr>
      <w:tr w:rsidR="0080749A" w14:paraId="77354B8D" w14:textId="77777777" w:rsidTr="0080749A">
        <w:tc>
          <w:tcPr>
            <w:tcW w:w="2438" w:type="dxa"/>
            <w:gridSpan w:val="2"/>
            <w:tcBorders>
              <w:top w:val="nil"/>
              <w:left w:val="single" w:sz="8" w:space="0" w:color="000000"/>
              <w:bottom w:val="nil"/>
              <w:right w:val="nil"/>
            </w:tcBorders>
          </w:tcPr>
          <w:p w14:paraId="10CAB65A"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4BC24747" w14:textId="77777777" w:rsidR="0080749A" w:rsidRPr="001356F1" w:rsidRDefault="002D4396" w:rsidP="005F7F7E">
            <w:r>
              <w:t>Thriving Communities</w:t>
            </w:r>
          </w:p>
        </w:tc>
      </w:tr>
      <w:tr w:rsidR="00D5547E" w14:paraId="411F4E8B" w14:textId="77777777" w:rsidTr="0080749A">
        <w:tc>
          <w:tcPr>
            <w:tcW w:w="2438" w:type="dxa"/>
            <w:gridSpan w:val="2"/>
            <w:tcBorders>
              <w:top w:val="nil"/>
              <w:left w:val="single" w:sz="8" w:space="0" w:color="000000"/>
              <w:bottom w:val="nil"/>
              <w:right w:val="nil"/>
            </w:tcBorders>
            <w:hideMark/>
          </w:tcPr>
          <w:p w14:paraId="52A05B7B"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6CE24FE1" w14:textId="77777777" w:rsidR="00D5547E" w:rsidRPr="001356F1" w:rsidRDefault="00B21150" w:rsidP="002236A5">
            <w:r>
              <w:t xml:space="preserve">Housing Strategy. </w:t>
            </w:r>
          </w:p>
        </w:tc>
      </w:tr>
      <w:tr w:rsidR="005F7F7E" w:rsidRPr="00975B07" w14:paraId="6603AC88" w14:textId="77777777" w:rsidTr="00A46E98">
        <w:trPr>
          <w:trHeight w:val="413"/>
        </w:trPr>
        <w:tc>
          <w:tcPr>
            <w:tcW w:w="8845" w:type="dxa"/>
            <w:gridSpan w:val="3"/>
            <w:tcBorders>
              <w:bottom w:val="single" w:sz="8" w:space="0" w:color="000000"/>
            </w:tcBorders>
          </w:tcPr>
          <w:p w14:paraId="6915023C" w14:textId="182A0D08" w:rsidR="005F7F7E" w:rsidRPr="00975B07" w:rsidRDefault="006D54D4" w:rsidP="00DB7AD7">
            <w:r>
              <w:rPr>
                <w:rStyle w:val="Firstpagetablebold"/>
              </w:rPr>
              <w:t>Recommendations</w:t>
            </w:r>
            <w:r w:rsidR="005F7F7E">
              <w:rPr>
                <w:rStyle w:val="Firstpagetablebold"/>
              </w:rPr>
              <w:t>:</w:t>
            </w:r>
            <w:r w:rsidR="005F7F7E" w:rsidRPr="006D54D4">
              <w:rPr>
                <w:rStyle w:val="Firstpagetablebold"/>
                <w:b w:val="0"/>
              </w:rPr>
              <w:t xml:space="preserve">That </w:t>
            </w:r>
            <w:r w:rsidR="00DB7AD7" w:rsidRPr="006D54D4">
              <w:rPr>
                <w:rStyle w:val="Firstpagetablebold"/>
                <w:b w:val="0"/>
              </w:rPr>
              <w:t>Cabinet</w:t>
            </w:r>
            <w:r w:rsidR="005F7F7E" w:rsidRPr="006D54D4">
              <w:rPr>
                <w:rStyle w:val="Firstpagetablebold"/>
                <w:b w:val="0"/>
              </w:rPr>
              <w:t xml:space="preserve"> resolves to:</w:t>
            </w:r>
          </w:p>
        </w:tc>
      </w:tr>
      <w:tr w:rsidR="0030208D" w:rsidRPr="00975B07" w14:paraId="7244CF3D" w14:textId="77777777" w:rsidTr="00A46E98">
        <w:trPr>
          <w:trHeight w:val="283"/>
        </w:trPr>
        <w:tc>
          <w:tcPr>
            <w:tcW w:w="426" w:type="dxa"/>
            <w:tcBorders>
              <w:top w:val="single" w:sz="8" w:space="0" w:color="000000"/>
              <w:left w:val="single" w:sz="8" w:space="0" w:color="000000"/>
              <w:bottom w:val="nil"/>
              <w:right w:val="nil"/>
            </w:tcBorders>
          </w:tcPr>
          <w:p w14:paraId="35FEDD76" w14:textId="77777777" w:rsidR="0030208D" w:rsidRPr="00031825" w:rsidRDefault="00046D2B" w:rsidP="00031825">
            <w:r w:rsidRPr="00031825">
              <w:t>.</w:t>
            </w:r>
          </w:p>
        </w:tc>
        <w:tc>
          <w:tcPr>
            <w:tcW w:w="8419" w:type="dxa"/>
            <w:gridSpan w:val="2"/>
            <w:tcBorders>
              <w:top w:val="single" w:sz="8" w:space="0" w:color="000000"/>
              <w:left w:val="nil"/>
              <w:bottom w:val="nil"/>
              <w:right w:val="single" w:sz="8" w:space="0" w:color="000000"/>
            </w:tcBorders>
            <w:shd w:val="clear" w:color="auto" w:fill="auto"/>
          </w:tcPr>
          <w:p w14:paraId="0D82BB9B" w14:textId="77777777" w:rsidR="002D4396" w:rsidRPr="00031825" w:rsidRDefault="000E5C2D" w:rsidP="00031825">
            <w:pPr>
              <w:pStyle w:val="ListParagraph"/>
              <w:numPr>
                <w:ilvl w:val="0"/>
                <w:numId w:val="48"/>
              </w:numPr>
            </w:pPr>
            <w:bookmarkStart w:id="0" w:name="_GoBack"/>
            <w:r w:rsidRPr="006D54D4">
              <w:rPr>
                <w:b/>
              </w:rPr>
              <w:t xml:space="preserve">Give </w:t>
            </w:r>
            <w:r w:rsidR="002236A5" w:rsidRPr="006D54D4">
              <w:rPr>
                <w:b/>
              </w:rPr>
              <w:t>authority</w:t>
            </w:r>
            <w:r w:rsidR="002236A5" w:rsidRPr="00031825">
              <w:t xml:space="preserve"> to procure a supplier or suppliers who will provide household furniture, white good and carpets as part of a Furnished Tenancy Scheme. </w:t>
            </w:r>
          </w:p>
          <w:p w14:paraId="6B63E493" w14:textId="77777777" w:rsidR="0030208D" w:rsidRPr="00031825" w:rsidRDefault="000E5C2D" w:rsidP="00031825">
            <w:pPr>
              <w:pStyle w:val="ListParagraph"/>
              <w:numPr>
                <w:ilvl w:val="0"/>
                <w:numId w:val="48"/>
              </w:numPr>
            </w:pPr>
            <w:r w:rsidRPr="006D54D4">
              <w:rPr>
                <w:b/>
              </w:rPr>
              <w:t xml:space="preserve">Delegate </w:t>
            </w:r>
            <w:r w:rsidRPr="00031825">
              <w:t>to the Director of Housing</w:t>
            </w:r>
            <w:r w:rsidR="002236A5" w:rsidRPr="00031825">
              <w:t xml:space="preserve"> in consultation with the Section 151 Officer</w:t>
            </w:r>
            <w:r w:rsidRPr="00031825">
              <w:t>, authority to award a Furnished Tenancy Scheme</w:t>
            </w:r>
            <w:r w:rsidR="00B055B5" w:rsidRPr="00031825">
              <w:t xml:space="preserve"> contract to a supplier</w:t>
            </w:r>
            <w:r w:rsidR="002236A5" w:rsidRPr="00031825">
              <w:t>,</w:t>
            </w:r>
            <w:r w:rsidR="00B055B5" w:rsidRPr="00031825">
              <w:t xml:space="preserve"> selected by an evaluation panel</w:t>
            </w:r>
            <w:r w:rsidR="002236A5" w:rsidRPr="00031825">
              <w:t>,</w:t>
            </w:r>
            <w:r w:rsidR="00B055B5" w:rsidRPr="00031825">
              <w:t xml:space="preserve"> following a fully compliant procurement process</w:t>
            </w:r>
            <w:r w:rsidRPr="00031825">
              <w:t>.</w:t>
            </w:r>
            <w:r w:rsidR="00B21150" w:rsidRPr="00031825">
              <w:rPr>
                <w:rStyle w:val="Firstpagetablebold"/>
                <w:b w:val="0"/>
              </w:rPr>
              <w:t xml:space="preserve"> </w:t>
            </w:r>
            <w:bookmarkEnd w:id="0"/>
          </w:p>
        </w:tc>
      </w:tr>
      <w:tr w:rsidR="00232F5B" w:rsidRPr="00975B07" w14:paraId="5E379FD2" w14:textId="77777777" w:rsidTr="00A46E98">
        <w:trPr>
          <w:trHeight w:val="283"/>
        </w:trPr>
        <w:tc>
          <w:tcPr>
            <w:tcW w:w="426" w:type="dxa"/>
            <w:tcBorders>
              <w:top w:val="nil"/>
              <w:left w:val="single" w:sz="8" w:space="0" w:color="000000"/>
              <w:bottom w:val="single" w:sz="8" w:space="0" w:color="000000"/>
              <w:right w:val="nil"/>
            </w:tcBorders>
          </w:tcPr>
          <w:p w14:paraId="54CF5078" w14:textId="77777777"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14:paraId="304EE86E" w14:textId="77777777" w:rsidR="0030208D" w:rsidRPr="001356F1" w:rsidRDefault="0030208D" w:rsidP="00247C29"/>
        </w:tc>
      </w:tr>
    </w:tbl>
    <w:p w14:paraId="16FB2FA8"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258EEE15"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3D5FF6E1" w14:textId="77777777" w:rsidR="00966D42" w:rsidRPr="00975B07" w:rsidRDefault="00966D42" w:rsidP="00263EA3">
            <w:pPr>
              <w:jc w:val="center"/>
            </w:pPr>
            <w:r w:rsidRPr="00745BF0">
              <w:rPr>
                <w:rStyle w:val="Firstpagetablebold"/>
              </w:rPr>
              <w:t>Appendices</w:t>
            </w:r>
          </w:p>
        </w:tc>
      </w:tr>
      <w:tr w:rsidR="00ED5860" w:rsidRPr="00975B07" w14:paraId="4B81A0C8" w14:textId="77777777" w:rsidTr="00A46E98">
        <w:tc>
          <w:tcPr>
            <w:tcW w:w="2438" w:type="dxa"/>
            <w:tcBorders>
              <w:top w:val="single" w:sz="8" w:space="0" w:color="000000"/>
              <w:left w:val="single" w:sz="8" w:space="0" w:color="000000"/>
              <w:bottom w:val="nil"/>
              <w:right w:val="nil"/>
            </w:tcBorders>
            <w:shd w:val="clear" w:color="auto" w:fill="auto"/>
          </w:tcPr>
          <w:p w14:paraId="77505505" w14:textId="77777777" w:rsidR="00ED5860" w:rsidRDefault="00ED5860" w:rsidP="004A6D2F">
            <w:r w:rsidRPr="00FE1B64">
              <w:t>Appendix 1</w:t>
            </w:r>
          </w:p>
          <w:p w14:paraId="5FDAA643" w14:textId="77777777" w:rsidR="003C162C" w:rsidRPr="00A3218F" w:rsidRDefault="003C162C" w:rsidP="004A6D2F">
            <w:pPr>
              <w:rPr>
                <w:highlight w:val="yellow"/>
              </w:rPr>
            </w:pPr>
            <w:r>
              <w:t>Appendix 2</w:t>
            </w:r>
          </w:p>
        </w:tc>
        <w:tc>
          <w:tcPr>
            <w:tcW w:w="6406" w:type="dxa"/>
            <w:tcBorders>
              <w:top w:val="single" w:sz="8" w:space="0" w:color="000000"/>
              <w:left w:val="nil"/>
              <w:bottom w:val="nil"/>
              <w:right w:val="single" w:sz="8" w:space="0" w:color="000000"/>
            </w:tcBorders>
          </w:tcPr>
          <w:p w14:paraId="62294582" w14:textId="77777777" w:rsidR="003C162C" w:rsidRDefault="003C162C" w:rsidP="004A6D2F">
            <w:r>
              <w:rPr>
                <w:rFonts w:cs="Arial"/>
              </w:rPr>
              <w:t>Confidential Finance Appendix</w:t>
            </w:r>
            <w:r w:rsidRPr="00FE1B64">
              <w:t xml:space="preserve"> </w:t>
            </w:r>
          </w:p>
          <w:p w14:paraId="645C7F04" w14:textId="77777777" w:rsidR="00A3218F" w:rsidRPr="00401F9E" w:rsidRDefault="00B21150" w:rsidP="004A6D2F">
            <w:r w:rsidRPr="00FE1B64">
              <w:t>Risk Register</w:t>
            </w:r>
          </w:p>
        </w:tc>
      </w:tr>
      <w:tr w:rsidR="0030208D" w:rsidRPr="00975B07" w14:paraId="3EAC9F74" w14:textId="77777777" w:rsidTr="00A46E98">
        <w:tc>
          <w:tcPr>
            <w:tcW w:w="2438" w:type="dxa"/>
            <w:tcBorders>
              <w:top w:val="nil"/>
              <w:left w:val="single" w:sz="8" w:space="0" w:color="000000"/>
              <w:bottom w:val="single" w:sz="8" w:space="0" w:color="000000"/>
              <w:right w:val="nil"/>
            </w:tcBorders>
            <w:shd w:val="clear" w:color="auto" w:fill="auto"/>
          </w:tcPr>
          <w:p w14:paraId="4701FAD0" w14:textId="77777777" w:rsidR="0030208D" w:rsidRPr="00975B07" w:rsidRDefault="0030208D" w:rsidP="004A6D2F"/>
        </w:tc>
        <w:tc>
          <w:tcPr>
            <w:tcW w:w="6406" w:type="dxa"/>
            <w:tcBorders>
              <w:top w:val="nil"/>
              <w:left w:val="nil"/>
              <w:bottom w:val="single" w:sz="8" w:space="0" w:color="000000"/>
              <w:right w:val="single" w:sz="8" w:space="0" w:color="000000"/>
            </w:tcBorders>
          </w:tcPr>
          <w:p w14:paraId="31FFD574" w14:textId="77777777" w:rsidR="0030208D" w:rsidRPr="001356F1" w:rsidRDefault="0030208D" w:rsidP="004A6D2F"/>
        </w:tc>
      </w:tr>
    </w:tbl>
    <w:p w14:paraId="7F6DF696" w14:textId="77777777" w:rsidR="00031825" w:rsidRDefault="00031825" w:rsidP="004A6D2F">
      <w:pPr>
        <w:pStyle w:val="Heading1"/>
      </w:pPr>
    </w:p>
    <w:p w14:paraId="3899C357" w14:textId="77777777" w:rsidR="00031825" w:rsidRDefault="00031825" w:rsidP="004A6D2F">
      <w:pPr>
        <w:pStyle w:val="Heading1"/>
      </w:pPr>
    </w:p>
    <w:p w14:paraId="6AB14D74" w14:textId="77777777" w:rsidR="006D54D4" w:rsidRDefault="006D54D4" w:rsidP="004A6D2F">
      <w:pPr>
        <w:pStyle w:val="Heading1"/>
      </w:pPr>
    </w:p>
    <w:p w14:paraId="2EF54863" w14:textId="77777777" w:rsidR="006D54D4" w:rsidRDefault="006D54D4" w:rsidP="004A6D2F">
      <w:pPr>
        <w:pStyle w:val="Heading1"/>
      </w:pPr>
    </w:p>
    <w:p w14:paraId="7DE7BB57" w14:textId="77777777" w:rsidR="0040736F" w:rsidRDefault="00F66DCA" w:rsidP="004A6D2F">
      <w:pPr>
        <w:pStyle w:val="Heading1"/>
      </w:pPr>
      <w:r w:rsidRPr="001356F1">
        <w:lastRenderedPageBreak/>
        <w:t>Introduction and b</w:t>
      </w:r>
      <w:r w:rsidR="00151888" w:rsidRPr="001356F1">
        <w:t>ackground</w:t>
      </w:r>
      <w:r w:rsidR="00404032" w:rsidRPr="001356F1">
        <w:t xml:space="preserve"> </w:t>
      </w:r>
    </w:p>
    <w:p w14:paraId="00EC7201" w14:textId="78CB2A1B" w:rsidR="00192816" w:rsidRDefault="00A3218F" w:rsidP="005B22DD">
      <w:pPr>
        <w:pStyle w:val="ListParagraph"/>
        <w:numPr>
          <w:ilvl w:val="0"/>
          <w:numId w:val="46"/>
        </w:numPr>
        <w:spacing w:after="0"/>
        <w:contextualSpacing/>
      </w:pPr>
      <w:r>
        <w:t xml:space="preserve">Oxford City Council operates a </w:t>
      </w:r>
      <w:r w:rsidR="002236A5">
        <w:t>F</w:t>
      </w:r>
      <w:r>
        <w:t xml:space="preserve">urnished </w:t>
      </w:r>
      <w:r w:rsidR="002236A5">
        <w:t>T</w:t>
      </w:r>
      <w:r>
        <w:t xml:space="preserve">enancy </w:t>
      </w:r>
      <w:r w:rsidR="002236A5">
        <w:t>S</w:t>
      </w:r>
      <w:r>
        <w:t>cheme (FTS) whereby new tenants who have not previously held a social housing tenancy</w:t>
      </w:r>
      <w:r w:rsidR="005E295D">
        <w:t xml:space="preserve"> </w:t>
      </w:r>
      <w:r>
        <w:t>are offered the opportuni</w:t>
      </w:r>
      <w:r w:rsidR="00F3451F">
        <w:t>ty to hold a furnished tenancy.</w:t>
      </w:r>
      <w:r w:rsidR="00F3207E">
        <w:t xml:space="preserve"> </w:t>
      </w:r>
    </w:p>
    <w:p w14:paraId="30AF0BD4" w14:textId="77777777" w:rsidR="00D76557" w:rsidRDefault="00192816" w:rsidP="0083779D">
      <w:pPr>
        <w:spacing w:after="0"/>
        <w:ind w:left="720"/>
        <w:contextualSpacing/>
        <w:rPr>
          <w:iCs/>
          <w:color w:val="auto"/>
        </w:rPr>
      </w:pPr>
      <w:r w:rsidRPr="00694445">
        <w:rPr>
          <w:iCs/>
          <w:color w:val="auto"/>
        </w:rPr>
        <w:t>Oxford City Council</w:t>
      </w:r>
      <w:r w:rsidR="00D76557" w:rsidRPr="00694445">
        <w:rPr>
          <w:iCs/>
          <w:color w:val="auto"/>
        </w:rPr>
        <w:t xml:space="preserve"> </w:t>
      </w:r>
      <w:r w:rsidR="00694445" w:rsidRPr="00694445">
        <w:rPr>
          <w:iCs/>
          <w:color w:val="auto"/>
        </w:rPr>
        <w:t xml:space="preserve">(OCC) </w:t>
      </w:r>
      <w:r w:rsidR="00D76557" w:rsidRPr="00694445">
        <w:rPr>
          <w:iCs/>
          <w:color w:val="auto"/>
        </w:rPr>
        <w:t xml:space="preserve">has an agreement with </w:t>
      </w:r>
      <w:r w:rsidRPr="00694445">
        <w:rPr>
          <w:iCs/>
          <w:color w:val="auto"/>
        </w:rPr>
        <w:t>Oxford City Housing (Investment) Limited (OCHL)</w:t>
      </w:r>
      <w:r w:rsidR="00D76557" w:rsidRPr="00694445">
        <w:rPr>
          <w:iCs/>
          <w:color w:val="auto"/>
        </w:rPr>
        <w:t xml:space="preserve"> to manage and maintain </w:t>
      </w:r>
      <w:r w:rsidR="00694445" w:rsidRPr="00694445">
        <w:rPr>
          <w:iCs/>
          <w:color w:val="auto"/>
        </w:rPr>
        <w:t xml:space="preserve">the </w:t>
      </w:r>
      <w:r w:rsidR="00D76557" w:rsidRPr="00694445">
        <w:rPr>
          <w:iCs/>
          <w:color w:val="auto"/>
        </w:rPr>
        <w:t>social rented housing units</w:t>
      </w:r>
      <w:r w:rsidR="00694445" w:rsidRPr="00694445">
        <w:rPr>
          <w:iCs/>
          <w:color w:val="auto"/>
        </w:rPr>
        <w:t xml:space="preserve"> on OCHLs behalf.</w:t>
      </w:r>
      <w:r w:rsidR="00D76557" w:rsidRPr="00694445">
        <w:rPr>
          <w:iCs/>
          <w:color w:val="auto"/>
        </w:rPr>
        <w:t xml:space="preserve"> As a result, OCHL operates the FTS for some of the tenants occupying properties let at social rents and managed by OC</w:t>
      </w:r>
      <w:r w:rsidR="00694445" w:rsidRPr="00694445">
        <w:rPr>
          <w:iCs/>
          <w:color w:val="auto"/>
        </w:rPr>
        <w:t>C</w:t>
      </w:r>
      <w:r w:rsidR="00D76557" w:rsidRPr="00694445">
        <w:rPr>
          <w:iCs/>
          <w:color w:val="auto"/>
        </w:rPr>
        <w:t>. It is intended that OCHL will be able to access the goods to be supplied to O</w:t>
      </w:r>
      <w:r w:rsidRPr="00694445">
        <w:rPr>
          <w:iCs/>
          <w:color w:val="auto"/>
        </w:rPr>
        <w:t>xford City Council</w:t>
      </w:r>
      <w:r w:rsidR="00D76557" w:rsidRPr="00694445">
        <w:rPr>
          <w:iCs/>
          <w:color w:val="auto"/>
        </w:rPr>
        <w:t xml:space="preserve"> as a result of the proposed procurement and to utilise them for FTS purposes in </w:t>
      </w:r>
      <w:r w:rsidR="00694445" w:rsidRPr="00694445">
        <w:rPr>
          <w:iCs/>
          <w:color w:val="auto"/>
        </w:rPr>
        <w:t xml:space="preserve">their </w:t>
      </w:r>
      <w:r w:rsidR="00D76557" w:rsidRPr="00694445">
        <w:rPr>
          <w:iCs/>
          <w:color w:val="auto"/>
        </w:rPr>
        <w:t>properties</w:t>
      </w:r>
      <w:r w:rsidR="00694445" w:rsidRPr="00694445">
        <w:rPr>
          <w:iCs/>
          <w:color w:val="auto"/>
        </w:rPr>
        <w:t>.</w:t>
      </w:r>
      <w:r w:rsidR="00020DCD" w:rsidRPr="00020DCD">
        <w:rPr>
          <w:iCs/>
          <w:color w:val="auto"/>
        </w:rPr>
        <w:t xml:space="preserve"> </w:t>
      </w:r>
      <w:r w:rsidR="00020DCD">
        <w:rPr>
          <w:iCs/>
          <w:color w:val="auto"/>
        </w:rPr>
        <w:t>That is, OCHL runs its own FTS for tenants occupying properties that it manages. The OCHL FTS is funded by OCHL through its own budget. Accordingly, it is independently funded and separate to the FTS run by OCC for council tenants occupying social rented housing.</w:t>
      </w:r>
    </w:p>
    <w:p w14:paraId="46659979" w14:textId="77777777" w:rsidR="00020DCD" w:rsidRDefault="00020DCD" w:rsidP="0083779D">
      <w:pPr>
        <w:spacing w:after="0"/>
        <w:ind w:left="720"/>
        <w:contextualSpacing/>
      </w:pPr>
    </w:p>
    <w:p w14:paraId="42BD83CC" w14:textId="77777777" w:rsidR="00B22B8E" w:rsidRDefault="00A3218F" w:rsidP="00407650">
      <w:pPr>
        <w:pStyle w:val="ListParagraph"/>
        <w:numPr>
          <w:ilvl w:val="0"/>
          <w:numId w:val="46"/>
        </w:numPr>
        <w:spacing w:after="0"/>
        <w:contextualSpacing/>
      </w:pPr>
      <w:r>
        <w:t xml:space="preserve">The purpose of the scheme is to provide new tenants with the best possible opportunity to succeed in their tenancy by removing </w:t>
      </w:r>
      <w:r w:rsidR="00B22B8E">
        <w:t xml:space="preserve">many </w:t>
      </w:r>
      <w:r>
        <w:t xml:space="preserve">of </w:t>
      </w:r>
      <w:r w:rsidR="00B22B8E">
        <w:t xml:space="preserve">the </w:t>
      </w:r>
      <w:r>
        <w:t>immediate financial demands that providing furniture for a first home can bring, thus reducing the risk of high levels of indebtedness.</w:t>
      </w:r>
    </w:p>
    <w:p w14:paraId="7B75FA2E" w14:textId="77777777" w:rsidR="00A3218F" w:rsidRDefault="00A3218F" w:rsidP="00407650">
      <w:pPr>
        <w:pStyle w:val="ListParagraph"/>
        <w:numPr>
          <w:ilvl w:val="0"/>
          <w:numId w:val="0"/>
        </w:numPr>
        <w:tabs>
          <w:tab w:val="clear" w:pos="426"/>
        </w:tabs>
        <w:spacing w:after="0"/>
        <w:ind w:left="360"/>
        <w:contextualSpacing/>
      </w:pPr>
    </w:p>
    <w:p w14:paraId="780BA514" w14:textId="77777777" w:rsidR="00A3218F" w:rsidRDefault="00A3218F" w:rsidP="00407650">
      <w:pPr>
        <w:pStyle w:val="ListParagraph"/>
        <w:numPr>
          <w:ilvl w:val="0"/>
          <w:numId w:val="46"/>
        </w:numPr>
        <w:spacing w:after="0"/>
        <w:contextualSpacing/>
      </w:pPr>
      <w:r>
        <w:t>The scheme operates by the Council providing certain furnishings and fittings which remain in the ownership of the Council. An additional service charge is levied depending on the furniture provided.</w:t>
      </w:r>
    </w:p>
    <w:p w14:paraId="71C8DF88" w14:textId="77777777" w:rsidR="00B22B8E" w:rsidRDefault="00B22B8E" w:rsidP="00407650">
      <w:pPr>
        <w:pStyle w:val="ListParagraph"/>
        <w:numPr>
          <w:ilvl w:val="0"/>
          <w:numId w:val="0"/>
        </w:numPr>
        <w:tabs>
          <w:tab w:val="clear" w:pos="426"/>
        </w:tabs>
        <w:spacing w:after="0"/>
        <w:ind w:left="360"/>
        <w:contextualSpacing/>
      </w:pPr>
    </w:p>
    <w:p w14:paraId="42345A92" w14:textId="77777777" w:rsidR="00504444" w:rsidRDefault="00A3218F" w:rsidP="00407650">
      <w:pPr>
        <w:pStyle w:val="ListParagraph"/>
        <w:numPr>
          <w:ilvl w:val="0"/>
          <w:numId w:val="46"/>
        </w:numPr>
        <w:spacing w:after="0"/>
      </w:pPr>
      <w:r>
        <w:t>By providing this service to vulnerable tenants</w:t>
      </w:r>
      <w:r w:rsidR="00365671">
        <w:t xml:space="preserve"> </w:t>
      </w:r>
      <w:r w:rsidRPr="004B62EF">
        <w:t>it greatly reduces the risk of tenants ‘liv</w:t>
      </w:r>
      <w:r>
        <w:t>ing rough’ in their homes and</w:t>
      </w:r>
      <w:r w:rsidRPr="004B62EF">
        <w:t xml:space="preserve"> improve</w:t>
      </w:r>
      <w:r>
        <w:t>s</w:t>
      </w:r>
      <w:r w:rsidRPr="004B62EF">
        <w:t xml:space="preserve"> the quality of life</w:t>
      </w:r>
      <w:r w:rsidR="00A53DD4">
        <w:t xml:space="preserve"> and restores dignity,</w:t>
      </w:r>
      <w:r w:rsidRPr="004B62EF">
        <w:t xml:space="preserve"> the sustainability of the tenancy and the length of the tenancy. By doing so</w:t>
      </w:r>
      <w:r>
        <w:t xml:space="preserve"> it</w:t>
      </w:r>
      <w:r w:rsidRPr="004B62EF">
        <w:t xml:space="preserve"> reduce</w:t>
      </w:r>
      <w:r>
        <w:t>s</w:t>
      </w:r>
      <w:r w:rsidRPr="004B62EF">
        <w:t xml:space="preserve"> failed tenancies and repeat homelessness</w:t>
      </w:r>
      <w:r>
        <w:t>.</w:t>
      </w:r>
    </w:p>
    <w:p w14:paraId="6D8357BF" w14:textId="77777777" w:rsidR="00890402" w:rsidRDefault="00890402" w:rsidP="00407650">
      <w:pPr>
        <w:pStyle w:val="ListParagraph"/>
        <w:numPr>
          <w:ilvl w:val="0"/>
          <w:numId w:val="0"/>
        </w:numPr>
        <w:ind w:left="502"/>
      </w:pPr>
    </w:p>
    <w:p w14:paraId="62CA29E1" w14:textId="77777777" w:rsidR="006B64D9" w:rsidRPr="00407650" w:rsidRDefault="00504444" w:rsidP="00407650">
      <w:pPr>
        <w:pStyle w:val="ListParagraph"/>
        <w:numPr>
          <w:ilvl w:val="0"/>
          <w:numId w:val="46"/>
        </w:numPr>
        <w:rPr>
          <w:color w:val="auto"/>
        </w:rPr>
      </w:pPr>
      <w:r>
        <w:t>The FTS was introduced as part of Oxford City Council’s anti-poverty initiative, the purpose of which was to provide affordable furnishings for new tenants who were in receipt of welfare benefit or low income in order to improve long term stability and sustainability for new starts.</w:t>
      </w:r>
      <w:r w:rsidR="002236A5">
        <w:t xml:space="preserve">  </w:t>
      </w:r>
    </w:p>
    <w:p w14:paraId="00B5815F" w14:textId="77777777" w:rsidR="00504444" w:rsidRDefault="00504444" w:rsidP="00407650">
      <w:pPr>
        <w:pStyle w:val="ListParagraph"/>
        <w:numPr>
          <w:ilvl w:val="0"/>
          <w:numId w:val="46"/>
        </w:numPr>
      </w:pPr>
      <w:r>
        <w:t xml:space="preserve">The scheme was designed to remain cost neutral so that it did not cost Oxford City Council </w:t>
      </w:r>
      <w:r w:rsidR="002236A5">
        <w:t xml:space="preserve">or OCHL </w:t>
      </w:r>
      <w:r>
        <w:t>money from the HRA and did not end up being a profit making scheme</w:t>
      </w:r>
      <w:r w:rsidR="002D4396">
        <w:t>.</w:t>
      </w:r>
      <w:r>
        <w:t xml:space="preserve"> </w:t>
      </w:r>
      <w:r w:rsidR="002D4396">
        <w:t>I</w:t>
      </w:r>
      <w:r>
        <w:t>t has been successful for a considerable period of time.</w:t>
      </w:r>
    </w:p>
    <w:p w14:paraId="4E30CAD0" w14:textId="77777777" w:rsidR="00504444" w:rsidRDefault="00504444" w:rsidP="00407650">
      <w:pPr>
        <w:pStyle w:val="ListParagraph"/>
        <w:numPr>
          <w:ilvl w:val="0"/>
          <w:numId w:val="46"/>
        </w:numPr>
      </w:pPr>
      <w:r>
        <w:t xml:space="preserve">Fundamentally, the Furnished Tenancy Scheme (FTS) offers new Oxford City Council tenants </w:t>
      </w:r>
      <w:r w:rsidR="002236A5">
        <w:t xml:space="preserve">and OCHL tenants </w:t>
      </w:r>
      <w:r>
        <w:t>the option of choosing items of furniture from a selected range of items, including carpets, furnishings, curtains and white goods dependent upon their property size.</w:t>
      </w:r>
    </w:p>
    <w:p w14:paraId="40E17B55" w14:textId="77777777" w:rsidR="00504444" w:rsidRDefault="00504444" w:rsidP="00407650">
      <w:pPr>
        <w:pStyle w:val="ListParagraph"/>
        <w:numPr>
          <w:ilvl w:val="0"/>
          <w:numId w:val="46"/>
        </w:numPr>
      </w:pPr>
      <w:r>
        <w:t xml:space="preserve">These items are then purchased by the Council and supplied directly to the property. </w:t>
      </w:r>
    </w:p>
    <w:p w14:paraId="25455528" w14:textId="77777777" w:rsidR="00504444" w:rsidRDefault="00504444" w:rsidP="00407650">
      <w:pPr>
        <w:pStyle w:val="ListParagraph"/>
        <w:numPr>
          <w:ilvl w:val="0"/>
          <w:numId w:val="46"/>
        </w:numPr>
      </w:pPr>
      <w:r>
        <w:t>The tenant rents these items through an additional weekly charge in the rent for a minimum of five years.</w:t>
      </w:r>
    </w:p>
    <w:p w14:paraId="2042A8D3" w14:textId="77777777" w:rsidR="006D54D4" w:rsidRDefault="006D54D4" w:rsidP="006D54D4"/>
    <w:p w14:paraId="4A81A00F" w14:textId="77777777" w:rsidR="006D54D4" w:rsidRDefault="006D54D4" w:rsidP="006D54D4"/>
    <w:p w14:paraId="69E63B29" w14:textId="77777777" w:rsidR="006D54D4" w:rsidRDefault="006D54D4" w:rsidP="006D54D4"/>
    <w:p w14:paraId="407885C9" w14:textId="77777777" w:rsidR="006D54D4" w:rsidRDefault="006D54D4" w:rsidP="006D54D4"/>
    <w:p w14:paraId="6FE09ADF" w14:textId="77777777" w:rsidR="00B40F85" w:rsidRPr="00407650" w:rsidRDefault="00B40F85" w:rsidP="00407650">
      <w:pPr>
        <w:rPr>
          <w:b/>
        </w:rPr>
      </w:pPr>
      <w:r w:rsidRPr="00407650">
        <w:rPr>
          <w:b/>
        </w:rPr>
        <w:t xml:space="preserve">Benefits of the Furnished Tenancy Scheme </w:t>
      </w:r>
    </w:p>
    <w:p w14:paraId="16A257D2" w14:textId="77777777" w:rsidR="00B40F85" w:rsidRDefault="00B40F85" w:rsidP="00407650">
      <w:pPr>
        <w:pStyle w:val="ListParagraph"/>
        <w:numPr>
          <w:ilvl w:val="0"/>
          <w:numId w:val="46"/>
        </w:numPr>
      </w:pPr>
      <w:r>
        <w:t xml:space="preserve">Many customers approaching the Council for housing or assistance are on a low income, have no savings and/or are in debt and have little or no furnishings of their own. </w:t>
      </w:r>
    </w:p>
    <w:p w14:paraId="6D0FE209" w14:textId="77777777" w:rsidR="00B40F85" w:rsidRDefault="00B40F85" w:rsidP="00407650">
      <w:pPr>
        <w:pStyle w:val="ListParagraph"/>
        <w:numPr>
          <w:ilvl w:val="0"/>
          <w:numId w:val="46"/>
        </w:numPr>
      </w:pPr>
      <w:r>
        <w:t xml:space="preserve">The provision of carpets and/or furniture substantially improves the quality of life of new tenants and their households, who otherwise would not be able to afford such items and encourages them to make a ‘home’ out of the property and not suffer undue hardship after moving into their new home. </w:t>
      </w:r>
    </w:p>
    <w:p w14:paraId="155F6FCE" w14:textId="77777777" w:rsidR="00B40F85" w:rsidRDefault="00504444" w:rsidP="00407650">
      <w:pPr>
        <w:pStyle w:val="ListParagraph"/>
        <w:numPr>
          <w:ilvl w:val="0"/>
          <w:numId w:val="46"/>
        </w:numPr>
      </w:pPr>
      <w:r>
        <w:t>R</w:t>
      </w:r>
      <w:r w:rsidR="00B40F85">
        <w:t>educing failed tenancies avoids further costs down the line such as associated management problems, void losses and serves to reduce repeat homelessness.</w:t>
      </w:r>
    </w:p>
    <w:p w14:paraId="0950E11F" w14:textId="77777777" w:rsidR="00B40F85" w:rsidRPr="00407650" w:rsidRDefault="00B40F85" w:rsidP="00407650">
      <w:pPr>
        <w:rPr>
          <w:b/>
        </w:rPr>
      </w:pPr>
      <w:r w:rsidRPr="00407650">
        <w:rPr>
          <w:b/>
        </w:rPr>
        <w:t>Demand for the Furnished Tenancy Scheme</w:t>
      </w:r>
    </w:p>
    <w:p w14:paraId="7ED906F9" w14:textId="77777777" w:rsidR="00D038FD" w:rsidRDefault="00B40F85" w:rsidP="00407650">
      <w:pPr>
        <w:pStyle w:val="ListParagraph"/>
        <w:numPr>
          <w:ilvl w:val="0"/>
          <w:numId w:val="46"/>
        </w:numPr>
        <w:spacing w:after="0"/>
      </w:pPr>
      <w:r>
        <w:t xml:space="preserve">The demand for the FTS is high. The FTS has been running for over </w:t>
      </w:r>
      <w:r w:rsidR="00504444">
        <w:t>22</w:t>
      </w:r>
      <w:r>
        <w:t xml:space="preserve"> years, we currently maintain over 1</w:t>
      </w:r>
      <w:r w:rsidR="00504444">
        <w:t>7</w:t>
      </w:r>
      <w:r>
        <w:t>00 live furnished tenancies</w:t>
      </w:r>
      <w:r w:rsidR="00B22B8E">
        <w:t>.  This</w:t>
      </w:r>
      <w:r>
        <w:t xml:space="preserve"> effectively means that one in every </w:t>
      </w:r>
      <w:r w:rsidR="00504444">
        <w:t>four</w:t>
      </w:r>
      <w:r>
        <w:t xml:space="preserve"> council tenants has a furnished tenancy. </w:t>
      </w:r>
    </w:p>
    <w:p w14:paraId="66ED7ECF" w14:textId="77777777" w:rsidR="00D038FD" w:rsidRDefault="00D038FD" w:rsidP="00407650">
      <w:pPr>
        <w:pStyle w:val="ListParagraph"/>
        <w:numPr>
          <w:ilvl w:val="0"/>
          <w:numId w:val="0"/>
        </w:numPr>
        <w:spacing w:after="0"/>
        <w:ind w:left="360"/>
      </w:pPr>
    </w:p>
    <w:p w14:paraId="4026AAE2" w14:textId="77777777" w:rsidR="00D038FD" w:rsidRDefault="00A04B40" w:rsidP="00407650">
      <w:pPr>
        <w:pStyle w:val="ListParagraph"/>
        <w:numPr>
          <w:ilvl w:val="0"/>
          <w:numId w:val="46"/>
        </w:numPr>
        <w:spacing w:after="0"/>
        <w:contextualSpacing/>
      </w:pPr>
      <w:r>
        <w:t xml:space="preserve">The current contract expires </w:t>
      </w:r>
      <w:r w:rsidRPr="00407650">
        <w:rPr>
          <w:color w:val="auto"/>
        </w:rPr>
        <w:t>on 24 April 2021</w:t>
      </w:r>
      <w:r w:rsidR="008E52BE" w:rsidRPr="00407650">
        <w:rPr>
          <w:color w:val="auto"/>
        </w:rPr>
        <w:t>. It is proposed that it</w:t>
      </w:r>
      <w:r w:rsidR="000E5C2D" w:rsidRPr="00407650">
        <w:rPr>
          <w:color w:val="auto"/>
        </w:rPr>
        <w:t xml:space="preserve"> </w:t>
      </w:r>
      <w:r w:rsidR="000E5C2D">
        <w:t>will be extended for a short period of time to allow the proposed tender process to complete, i</w:t>
      </w:r>
      <w:r>
        <w:t>n order to ensure the continuation of service</w:t>
      </w:r>
      <w:r w:rsidR="000E5C2D">
        <w:t>.</w:t>
      </w:r>
    </w:p>
    <w:p w14:paraId="26767838" w14:textId="77777777" w:rsidR="005012EB" w:rsidRDefault="005012EB" w:rsidP="00407650"/>
    <w:p w14:paraId="29EEC733" w14:textId="77777777" w:rsidR="005012EB" w:rsidRPr="00407650" w:rsidRDefault="005012EB" w:rsidP="00407650">
      <w:pPr>
        <w:tabs>
          <w:tab w:val="left" w:pos="540"/>
          <w:tab w:val="left" w:pos="1440"/>
        </w:tabs>
        <w:rPr>
          <w:rFonts w:cs="Arial"/>
        </w:rPr>
      </w:pPr>
      <w:r w:rsidRPr="00407650">
        <w:rPr>
          <w:rFonts w:cs="Arial"/>
          <w:b/>
        </w:rPr>
        <w:t>Budget</w:t>
      </w:r>
    </w:p>
    <w:p w14:paraId="485CB49C" w14:textId="77777777" w:rsidR="00F3451F" w:rsidRPr="00407650" w:rsidRDefault="007941C7" w:rsidP="00407650">
      <w:pPr>
        <w:pStyle w:val="ListParagraph"/>
        <w:numPr>
          <w:ilvl w:val="0"/>
          <w:numId w:val="46"/>
        </w:numPr>
        <w:tabs>
          <w:tab w:val="left" w:pos="1440"/>
        </w:tabs>
        <w:spacing w:after="0"/>
        <w:rPr>
          <w:rFonts w:cs="Arial"/>
          <w:color w:val="auto"/>
        </w:rPr>
      </w:pPr>
      <w:r w:rsidRPr="00407650">
        <w:rPr>
          <w:rFonts w:cs="Arial"/>
        </w:rPr>
        <w:t xml:space="preserve">Please refer to Appendix 1 – Confidential </w:t>
      </w:r>
      <w:r w:rsidR="002D4396">
        <w:rPr>
          <w:rFonts w:cs="Arial"/>
        </w:rPr>
        <w:t>Financial</w:t>
      </w:r>
      <w:r w:rsidR="002D4396" w:rsidRPr="00407650">
        <w:rPr>
          <w:rFonts w:cs="Arial"/>
        </w:rPr>
        <w:t xml:space="preserve"> </w:t>
      </w:r>
      <w:r w:rsidRPr="00407650">
        <w:rPr>
          <w:rFonts w:cs="Arial"/>
        </w:rPr>
        <w:t xml:space="preserve">Appendix. </w:t>
      </w:r>
    </w:p>
    <w:p w14:paraId="2789B0A5" w14:textId="77777777" w:rsidR="00401F9E" w:rsidRDefault="00401F9E" w:rsidP="00407650">
      <w:pPr>
        <w:tabs>
          <w:tab w:val="left" w:pos="540"/>
          <w:tab w:val="left" w:pos="1440"/>
        </w:tabs>
        <w:rPr>
          <w:b/>
        </w:rPr>
      </w:pPr>
    </w:p>
    <w:p w14:paraId="684A79F6" w14:textId="77777777" w:rsidR="00117125" w:rsidRPr="00407650" w:rsidRDefault="00597D1F" w:rsidP="00407650">
      <w:pPr>
        <w:tabs>
          <w:tab w:val="left" w:pos="540"/>
          <w:tab w:val="left" w:pos="1440"/>
        </w:tabs>
        <w:rPr>
          <w:b/>
        </w:rPr>
      </w:pPr>
      <w:r w:rsidRPr="00407650">
        <w:rPr>
          <w:b/>
        </w:rPr>
        <w:t>Tender Process</w:t>
      </w:r>
    </w:p>
    <w:p w14:paraId="0C35D246" w14:textId="77777777" w:rsidR="00597D1F" w:rsidRPr="00F3451F" w:rsidRDefault="006A39AA" w:rsidP="00407650">
      <w:pPr>
        <w:pStyle w:val="ListParagraph"/>
        <w:numPr>
          <w:ilvl w:val="0"/>
          <w:numId w:val="46"/>
        </w:numPr>
        <w:tabs>
          <w:tab w:val="left" w:pos="540"/>
          <w:tab w:val="left" w:pos="1440"/>
        </w:tabs>
      </w:pPr>
      <w:r w:rsidRPr="00407650">
        <w:rPr>
          <w:rFonts w:cs="Arial"/>
          <w:color w:val="auto"/>
        </w:rPr>
        <w:t>A</w:t>
      </w:r>
      <w:r w:rsidR="00117125" w:rsidRPr="00407650">
        <w:rPr>
          <w:rFonts w:cs="Arial"/>
          <w:color w:val="auto"/>
        </w:rPr>
        <w:t xml:space="preserve"> </w:t>
      </w:r>
      <w:r w:rsidR="00117125" w:rsidRPr="00407650">
        <w:rPr>
          <w:color w:val="auto"/>
        </w:rPr>
        <w:t xml:space="preserve">fully compliant procurement process will be conducted in </w:t>
      </w:r>
      <w:r w:rsidR="00007260" w:rsidRPr="00407650">
        <w:rPr>
          <w:color w:val="auto"/>
        </w:rPr>
        <w:t>conjunction with</w:t>
      </w:r>
      <w:r w:rsidR="00117125" w:rsidRPr="00407650">
        <w:rPr>
          <w:color w:val="auto"/>
        </w:rPr>
        <w:t xml:space="preserve"> the Procurement Team</w:t>
      </w:r>
      <w:r w:rsidR="00117125" w:rsidRPr="00407650">
        <w:rPr>
          <w:rFonts w:cs="Arial"/>
          <w:color w:val="auto"/>
        </w:rPr>
        <w:t>.</w:t>
      </w:r>
    </w:p>
    <w:p w14:paraId="07D07D3B" w14:textId="77777777" w:rsidR="00597D1F" w:rsidRPr="00407650" w:rsidRDefault="00117125" w:rsidP="00407650">
      <w:pPr>
        <w:pStyle w:val="ListParagraph"/>
        <w:numPr>
          <w:ilvl w:val="0"/>
          <w:numId w:val="46"/>
        </w:numPr>
        <w:spacing w:after="0"/>
        <w:rPr>
          <w:rFonts w:cs="Arial"/>
          <w:color w:val="auto"/>
        </w:rPr>
      </w:pPr>
      <w:r w:rsidRPr="00407650">
        <w:rPr>
          <w:rFonts w:cs="Arial"/>
          <w:color w:val="auto"/>
        </w:rPr>
        <w:t>If it is safe to do so under social distancing rules</w:t>
      </w:r>
      <w:r w:rsidR="00117F9D" w:rsidRPr="00407650">
        <w:rPr>
          <w:rFonts w:cs="Arial"/>
          <w:color w:val="auto"/>
        </w:rPr>
        <w:t>, re</w:t>
      </w:r>
      <w:r w:rsidR="00597D1F" w:rsidRPr="00407650">
        <w:rPr>
          <w:rFonts w:cs="Arial"/>
          <w:color w:val="auto"/>
        </w:rPr>
        <w:t xml:space="preserve">presentatives from Tenant </w:t>
      </w:r>
      <w:r w:rsidR="00797B92" w:rsidRPr="00407650">
        <w:rPr>
          <w:rFonts w:cs="Arial"/>
          <w:color w:val="auto"/>
        </w:rPr>
        <w:t>Involvement</w:t>
      </w:r>
      <w:r w:rsidR="00597D1F" w:rsidRPr="00407650">
        <w:rPr>
          <w:rFonts w:cs="Arial"/>
          <w:color w:val="auto"/>
        </w:rPr>
        <w:t xml:space="preserve"> will be assisting the tender evaluation panel in analysing the product brochures and by attending supplier clarification meetings in an “observing” capacity</w:t>
      </w:r>
      <w:r w:rsidRPr="00407650">
        <w:rPr>
          <w:rFonts w:cs="Arial"/>
          <w:color w:val="auto"/>
        </w:rPr>
        <w:t>.</w:t>
      </w:r>
      <w:r w:rsidR="00ED3EE1" w:rsidRPr="00407650">
        <w:rPr>
          <w:rFonts w:cs="Arial"/>
          <w:color w:val="auto"/>
        </w:rPr>
        <w:t xml:space="preserve"> </w:t>
      </w:r>
      <w:r w:rsidR="00CB5749" w:rsidRPr="00407650">
        <w:rPr>
          <w:rFonts w:cs="Arial"/>
          <w:color w:val="auto"/>
        </w:rPr>
        <w:t>Site visits may also be carried out as part of the final stages of the tender process where appropriate</w:t>
      </w:r>
      <w:r w:rsidR="0086398E" w:rsidRPr="00407650">
        <w:rPr>
          <w:rFonts w:cs="Arial"/>
          <w:color w:val="auto"/>
        </w:rPr>
        <w:t xml:space="preserve">, </w:t>
      </w:r>
      <w:r w:rsidR="00CB5749" w:rsidRPr="00407650">
        <w:rPr>
          <w:rFonts w:cs="Arial"/>
          <w:color w:val="auto"/>
        </w:rPr>
        <w:t>adhering to the Covid guidelines.</w:t>
      </w:r>
    </w:p>
    <w:p w14:paraId="646103F1" w14:textId="77777777" w:rsidR="00597D1F" w:rsidRDefault="00597D1F" w:rsidP="00407650">
      <w:pPr>
        <w:spacing w:after="0"/>
        <w:rPr>
          <w:rFonts w:cs="Arial"/>
        </w:rPr>
      </w:pPr>
    </w:p>
    <w:p w14:paraId="78E127A3" w14:textId="77777777" w:rsidR="00597D1F" w:rsidRPr="00407650" w:rsidRDefault="00597D1F" w:rsidP="00407650">
      <w:pPr>
        <w:tabs>
          <w:tab w:val="left" w:pos="540"/>
          <w:tab w:val="left" w:pos="1440"/>
        </w:tabs>
        <w:rPr>
          <w:rFonts w:cs="Arial"/>
          <w:b/>
        </w:rPr>
      </w:pPr>
      <w:r w:rsidRPr="00407650">
        <w:rPr>
          <w:rFonts w:cs="Arial"/>
          <w:b/>
        </w:rPr>
        <w:t>Evaluation Criteria</w:t>
      </w:r>
    </w:p>
    <w:p w14:paraId="70BA986A" w14:textId="04F0284E" w:rsidR="0094221F" w:rsidRPr="00407650" w:rsidRDefault="0094221F" w:rsidP="00407650">
      <w:pPr>
        <w:pStyle w:val="ListParagraph"/>
        <w:numPr>
          <w:ilvl w:val="0"/>
          <w:numId w:val="46"/>
        </w:numPr>
        <w:rPr>
          <w:rFonts w:cs="Arial"/>
        </w:rPr>
      </w:pPr>
      <w:r w:rsidRPr="00407650">
        <w:rPr>
          <w:rFonts w:cs="Arial"/>
        </w:rPr>
        <w:t>The supplier submissions will be evaluated using both quality and pricing elements with the aim of selecting the most economically advantageous tender.</w:t>
      </w:r>
      <w:r w:rsidR="00935A80">
        <w:rPr>
          <w:rFonts w:cs="Arial"/>
        </w:rPr>
        <w:t xml:space="preserve"> </w:t>
      </w:r>
      <w:r w:rsidRPr="00407650">
        <w:rPr>
          <w:rFonts w:cs="Arial"/>
        </w:rPr>
        <w:t xml:space="preserve"> </w:t>
      </w:r>
      <w:r w:rsidR="00935A80">
        <w:rPr>
          <w:rFonts w:cs="Arial"/>
        </w:rPr>
        <w:t>It is worth noting that the Council seeks a commitment from suppliers to pay their employees the Oxford Living Wage (where work is undertaken within Oxford) or the living Wage Foundation Rate. T</w:t>
      </w:r>
      <w:r w:rsidR="003B27A7">
        <w:rPr>
          <w:rFonts w:cs="Arial"/>
        </w:rPr>
        <w:t>his includes, where appropriate, any employees engaged by a sub-contractor in fulfilling a contract.</w:t>
      </w:r>
      <w:r w:rsidR="00831EDC">
        <w:rPr>
          <w:rFonts w:cs="Arial"/>
        </w:rPr>
        <w:t xml:space="preserve"> </w:t>
      </w:r>
      <w:r w:rsidRPr="00407650">
        <w:rPr>
          <w:rFonts w:cs="Arial"/>
        </w:rPr>
        <w:t>The evaluation panel will consist of members of the Project Team and Procurement.</w:t>
      </w:r>
    </w:p>
    <w:p w14:paraId="4176129E" w14:textId="77777777" w:rsidR="00597D1F" w:rsidRPr="00407650" w:rsidRDefault="00597D1F" w:rsidP="00407650">
      <w:pPr>
        <w:tabs>
          <w:tab w:val="left" w:pos="540"/>
          <w:tab w:val="left" w:pos="1440"/>
        </w:tabs>
        <w:rPr>
          <w:rFonts w:cs="Arial"/>
          <w:b/>
        </w:rPr>
      </w:pPr>
      <w:r w:rsidRPr="00407650">
        <w:rPr>
          <w:rFonts w:cs="Arial"/>
          <w:b/>
        </w:rPr>
        <w:t>Contract Rules Compliance and Financial Assessment</w:t>
      </w:r>
    </w:p>
    <w:p w14:paraId="69B517D4" w14:textId="39357C18" w:rsidR="00C64BC8" w:rsidRPr="00F3451F" w:rsidRDefault="00C64BC8" w:rsidP="00407650">
      <w:pPr>
        <w:pStyle w:val="ListParagraph"/>
        <w:numPr>
          <w:ilvl w:val="0"/>
          <w:numId w:val="46"/>
        </w:numPr>
        <w:tabs>
          <w:tab w:val="left" w:pos="540"/>
          <w:tab w:val="left" w:pos="1440"/>
        </w:tabs>
      </w:pPr>
      <w:r w:rsidRPr="00407650">
        <w:rPr>
          <w:rFonts w:cs="Arial"/>
          <w:color w:val="auto"/>
        </w:rPr>
        <w:t xml:space="preserve">A </w:t>
      </w:r>
      <w:r w:rsidRPr="00407650">
        <w:rPr>
          <w:color w:val="auto"/>
        </w:rPr>
        <w:t>fully compliant procurement process will be conducted in conjunction with the Procurement Team</w:t>
      </w:r>
      <w:r w:rsidR="00B8140C" w:rsidRPr="00407650">
        <w:rPr>
          <w:rFonts w:cs="Arial"/>
          <w:color w:val="auto"/>
        </w:rPr>
        <w:t xml:space="preserve"> resulting in the award of a contract to the successful </w:t>
      </w:r>
      <w:r w:rsidR="000902DB">
        <w:rPr>
          <w:rFonts w:cs="Arial"/>
          <w:color w:val="auto"/>
        </w:rPr>
        <w:t>bidder</w:t>
      </w:r>
      <w:r w:rsidR="00EC73C8">
        <w:rPr>
          <w:rFonts w:cs="Arial"/>
          <w:color w:val="auto"/>
        </w:rPr>
        <w:t>.</w:t>
      </w:r>
    </w:p>
    <w:p w14:paraId="78708525" w14:textId="77777777" w:rsidR="00597D1F" w:rsidRPr="00407650" w:rsidRDefault="00597D1F" w:rsidP="00407650">
      <w:pPr>
        <w:pStyle w:val="ListParagraph"/>
        <w:numPr>
          <w:ilvl w:val="0"/>
          <w:numId w:val="46"/>
        </w:numPr>
        <w:spacing w:after="0"/>
        <w:rPr>
          <w:bCs/>
        </w:rPr>
      </w:pPr>
      <w:r w:rsidRPr="00407650">
        <w:rPr>
          <w:bCs/>
        </w:rPr>
        <w:lastRenderedPageBreak/>
        <w:t>These items are then purchased by the Council and supplied directly to the property. The tenant rents these items through an additional weekly charge in the rent for a minimum of five years.</w:t>
      </w:r>
    </w:p>
    <w:p w14:paraId="0FB0CBA3" w14:textId="0C180213" w:rsidR="00597D1F" w:rsidRDefault="00597D1F" w:rsidP="00407650">
      <w:pPr>
        <w:tabs>
          <w:tab w:val="left" w:pos="540"/>
          <w:tab w:val="left" w:pos="1440"/>
        </w:tabs>
        <w:ind w:left="-720"/>
        <w:rPr>
          <w:rFonts w:cs="Arial"/>
        </w:rPr>
      </w:pPr>
    </w:p>
    <w:p w14:paraId="0C80F4F9" w14:textId="77777777" w:rsidR="00597D1F" w:rsidRPr="00407650" w:rsidRDefault="00597D1F" w:rsidP="00407650">
      <w:pPr>
        <w:pStyle w:val="ListParagraph"/>
        <w:numPr>
          <w:ilvl w:val="0"/>
          <w:numId w:val="46"/>
        </w:numPr>
        <w:tabs>
          <w:tab w:val="left" w:pos="540"/>
          <w:tab w:val="left" w:pos="1440"/>
        </w:tabs>
        <w:spacing w:after="0"/>
        <w:rPr>
          <w:rFonts w:cs="Arial"/>
        </w:rPr>
      </w:pPr>
      <w:r w:rsidRPr="00407650">
        <w:rPr>
          <w:rFonts w:cs="Arial"/>
        </w:rPr>
        <w:t xml:space="preserve">A financial assessment will be carried out on the successful tenderer. </w:t>
      </w:r>
    </w:p>
    <w:p w14:paraId="4A42B63E" w14:textId="77777777" w:rsidR="00597D1F" w:rsidRDefault="00597D1F" w:rsidP="00407650">
      <w:pPr>
        <w:tabs>
          <w:tab w:val="left" w:pos="540"/>
          <w:tab w:val="left" w:pos="1440"/>
        </w:tabs>
        <w:rPr>
          <w:b/>
        </w:rPr>
      </w:pPr>
    </w:p>
    <w:p w14:paraId="7C5654CB" w14:textId="77777777" w:rsidR="00597D1F" w:rsidRPr="00407650" w:rsidRDefault="00597D1F" w:rsidP="00407650">
      <w:pPr>
        <w:tabs>
          <w:tab w:val="left" w:pos="540"/>
          <w:tab w:val="left" w:pos="1440"/>
        </w:tabs>
        <w:rPr>
          <w:rFonts w:cs="Arial"/>
        </w:rPr>
      </w:pPr>
      <w:r w:rsidRPr="00407650">
        <w:rPr>
          <w:b/>
        </w:rPr>
        <w:t>Financial Implications</w:t>
      </w:r>
    </w:p>
    <w:p w14:paraId="16FFDBA5" w14:textId="77777777" w:rsidR="00597D1F" w:rsidRPr="00407650" w:rsidRDefault="00754551" w:rsidP="00407650">
      <w:pPr>
        <w:pStyle w:val="ListParagraph"/>
        <w:numPr>
          <w:ilvl w:val="0"/>
          <w:numId w:val="46"/>
        </w:numPr>
        <w:spacing w:after="0"/>
        <w:rPr>
          <w:rFonts w:cs="Arial"/>
        </w:rPr>
      </w:pPr>
      <w:r w:rsidRPr="00407650">
        <w:rPr>
          <w:rFonts w:cs="Arial"/>
        </w:rPr>
        <w:t>Please see Appendix 1 for details of the budget.</w:t>
      </w:r>
    </w:p>
    <w:p w14:paraId="709A11FE" w14:textId="77777777" w:rsidR="00597D1F" w:rsidRDefault="00597D1F" w:rsidP="00407650">
      <w:pPr>
        <w:rPr>
          <w:rFonts w:cs="Arial"/>
        </w:rPr>
      </w:pPr>
    </w:p>
    <w:p w14:paraId="61B1414C" w14:textId="77777777" w:rsidR="00597D1F" w:rsidRPr="00407650" w:rsidRDefault="00597D1F" w:rsidP="00407650">
      <w:pPr>
        <w:pStyle w:val="ListParagraph"/>
        <w:numPr>
          <w:ilvl w:val="0"/>
          <w:numId w:val="46"/>
        </w:numPr>
        <w:spacing w:after="0"/>
        <w:rPr>
          <w:rFonts w:cs="Arial"/>
        </w:rPr>
      </w:pPr>
      <w:r w:rsidRPr="00407650">
        <w:rPr>
          <w:rFonts w:cs="Arial"/>
        </w:rPr>
        <w:t>The furnished tenancy scheme allows for the recovery of the costs incurred, from the tenants over a period of time, which is designed to make the position cost neutral for the authority.</w:t>
      </w:r>
    </w:p>
    <w:p w14:paraId="6822DC8B" w14:textId="77777777" w:rsidR="00234E87" w:rsidRDefault="00234E87" w:rsidP="00407650">
      <w:pPr>
        <w:pStyle w:val="ListParagraph"/>
        <w:numPr>
          <w:ilvl w:val="0"/>
          <w:numId w:val="0"/>
        </w:numPr>
        <w:ind w:left="360"/>
        <w:rPr>
          <w:rFonts w:cs="Arial"/>
        </w:rPr>
      </w:pPr>
    </w:p>
    <w:p w14:paraId="1C73BBD5" w14:textId="77777777" w:rsidR="00234E87" w:rsidRPr="00407650" w:rsidRDefault="00234E87" w:rsidP="00407650">
      <w:pPr>
        <w:pStyle w:val="ListParagraph"/>
        <w:numPr>
          <w:ilvl w:val="0"/>
          <w:numId w:val="46"/>
        </w:numPr>
        <w:spacing w:after="0"/>
        <w:rPr>
          <w:rFonts w:cs="Arial"/>
        </w:rPr>
      </w:pPr>
      <w:r w:rsidRPr="00407650">
        <w:rPr>
          <w:rFonts w:cs="Arial"/>
        </w:rPr>
        <w:t>As the level of Oxford City Council and OCHL housing stock increases due to new housing stock becoming available, the budget will need to be periodically reviewed.</w:t>
      </w:r>
    </w:p>
    <w:p w14:paraId="1EF98D1C" w14:textId="77777777" w:rsidR="003E06E2" w:rsidRDefault="003E06E2" w:rsidP="00407650">
      <w:pPr>
        <w:ind w:left="142"/>
        <w:rPr>
          <w:rFonts w:cs="Arial"/>
        </w:rPr>
      </w:pPr>
    </w:p>
    <w:p w14:paraId="66A71D86" w14:textId="77777777" w:rsidR="003E06E2" w:rsidRPr="00407650" w:rsidRDefault="003E06E2" w:rsidP="00407650">
      <w:pPr>
        <w:rPr>
          <w:rFonts w:cs="Arial"/>
          <w:b/>
        </w:rPr>
      </w:pPr>
      <w:r w:rsidRPr="00407650">
        <w:rPr>
          <w:rFonts w:cs="Arial"/>
          <w:b/>
        </w:rPr>
        <w:t>Legal Implications</w:t>
      </w:r>
    </w:p>
    <w:p w14:paraId="342479EB" w14:textId="77777777" w:rsidR="003D7505" w:rsidRPr="00407650" w:rsidRDefault="003D7505" w:rsidP="00407650">
      <w:pPr>
        <w:pStyle w:val="ListParagraph"/>
        <w:numPr>
          <w:ilvl w:val="0"/>
          <w:numId w:val="46"/>
        </w:numPr>
        <w:spacing w:after="0"/>
        <w:rPr>
          <w:rFonts w:cs="Arial"/>
        </w:rPr>
      </w:pPr>
      <w:r w:rsidRPr="00407650">
        <w:rPr>
          <w:rFonts w:cs="Arial"/>
        </w:rPr>
        <w:t>C</w:t>
      </w:r>
      <w:r w:rsidR="003E06E2" w:rsidRPr="00407650">
        <w:rPr>
          <w:rFonts w:cs="Arial"/>
        </w:rPr>
        <w:t xml:space="preserve">onsideration should be given as to whether </w:t>
      </w:r>
      <w:r w:rsidR="000D016F" w:rsidRPr="00407650">
        <w:rPr>
          <w:rFonts w:cs="Arial"/>
        </w:rPr>
        <w:t>there is a need</w:t>
      </w:r>
      <w:r w:rsidRPr="00407650">
        <w:rPr>
          <w:rFonts w:cs="Arial"/>
        </w:rPr>
        <w:t xml:space="preserve"> for OCC</w:t>
      </w:r>
      <w:r w:rsidR="000D016F" w:rsidRPr="00407650">
        <w:rPr>
          <w:rFonts w:cs="Arial"/>
        </w:rPr>
        <w:t xml:space="preserve"> to </w:t>
      </w:r>
      <w:r w:rsidRPr="00407650">
        <w:rPr>
          <w:rFonts w:cs="Arial"/>
        </w:rPr>
        <w:t xml:space="preserve">enter into a new agreement or to </w:t>
      </w:r>
      <w:r w:rsidR="000D016F" w:rsidRPr="00407650">
        <w:rPr>
          <w:rFonts w:cs="Arial"/>
        </w:rPr>
        <w:t>vary the agreement with OCHL so that the basis under which OCHL may acquire furniture, white goods and carpets for its FTS purposes, is clear and so as to ensure that there is no risk of unlawful subsidy arising.</w:t>
      </w:r>
    </w:p>
    <w:p w14:paraId="7665F6D9" w14:textId="77777777" w:rsidR="003D7505" w:rsidRDefault="003D7505" w:rsidP="00407650">
      <w:pPr>
        <w:spacing w:after="0"/>
        <w:ind w:left="572"/>
        <w:rPr>
          <w:rFonts w:cs="Arial"/>
        </w:rPr>
      </w:pPr>
    </w:p>
    <w:p w14:paraId="006C7FC4" w14:textId="5AA3894C" w:rsidR="007E6942" w:rsidRPr="00A605D7" w:rsidRDefault="000D016F" w:rsidP="005B22DD">
      <w:pPr>
        <w:pStyle w:val="ListParagraph"/>
        <w:numPr>
          <w:ilvl w:val="0"/>
          <w:numId w:val="46"/>
        </w:numPr>
        <w:spacing w:after="0"/>
        <w:rPr>
          <w:rFonts w:cs="Arial"/>
        </w:rPr>
      </w:pPr>
      <w:r w:rsidRPr="00407650">
        <w:rPr>
          <w:rFonts w:cs="Arial"/>
        </w:rPr>
        <w:t>The procurement process and award of contract must be undertaken in compliance with the contract rules contained in Part 19 of the council’s Constitution and the provisions of the Public Contracts Regulations 2015.</w:t>
      </w:r>
      <w:r w:rsidR="003D7505" w:rsidRPr="00407650">
        <w:rPr>
          <w:rFonts w:cs="Arial"/>
        </w:rPr>
        <w:t xml:space="preserve"> As part of the procurement process, legal advice should be obtained as to whether it would be appropriate or beneficial for both OCC and OCHL to be party to the contracts with the new supplier(s).</w:t>
      </w:r>
    </w:p>
    <w:p w14:paraId="5D6E30F5" w14:textId="77777777" w:rsidR="007E6942" w:rsidRDefault="007E6942" w:rsidP="00407650">
      <w:pPr>
        <w:spacing w:after="0"/>
        <w:ind w:left="502"/>
        <w:rPr>
          <w:rFonts w:cs="Arial"/>
        </w:rPr>
      </w:pPr>
    </w:p>
    <w:p w14:paraId="67590E08" w14:textId="77777777" w:rsidR="00E515E8" w:rsidRPr="00407650" w:rsidRDefault="00E515E8" w:rsidP="00407650">
      <w:pPr>
        <w:rPr>
          <w:rFonts w:cs="Arial"/>
          <w:b/>
        </w:rPr>
      </w:pPr>
      <w:r w:rsidRPr="00407650">
        <w:rPr>
          <w:rFonts w:cs="Arial"/>
          <w:b/>
        </w:rPr>
        <w:t>Equalities Impact</w:t>
      </w:r>
    </w:p>
    <w:p w14:paraId="5E7C24D7" w14:textId="77777777" w:rsidR="00E515E8" w:rsidRDefault="005012EB" w:rsidP="00407650">
      <w:pPr>
        <w:pStyle w:val="ListParagraph"/>
        <w:numPr>
          <w:ilvl w:val="0"/>
          <w:numId w:val="46"/>
        </w:numPr>
        <w:spacing w:after="0"/>
        <w:rPr>
          <w:rFonts w:cs="Arial"/>
        </w:rPr>
      </w:pPr>
      <w:r w:rsidRPr="00407650">
        <w:rPr>
          <w:rFonts w:cs="Arial"/>
        </w:rPr>
        <w:t>An equalities impact assessment is not required in this case, as this is not a policy or function that will cause or likely to cause disadvantage to any group or individual with a protected characteristic</w:t>
      </w:r>
      <w:r w:rsidR="00EC73C8">
        <w:rPr>
          <w:rFonts w:cs="Arial"/>
        </w:rPr>
        <w:t>.</w:t>
      </w:r>
    </w:p>
    <w:p w14:paraId="5B9E4770" w14:textId="77777777" w:rsidR="00EC73C8" w:rsidRPr="00407650" w:rsidRDefault="00EC73C8" w:rsidP="00407650">
      <w:pPr>
        <w:pStyle w:val="ListParagraph"/>
        <w:numPr>
          <w:ilvl w:val="0"/>
          <w:numId w:val="46"/>
        </w:numPr>
        <w:spacing w:after="0"/>
        <w:rPr>
          <w:rFonts w:cs="Arial"/>
        </w:rPr>
      </w:pPr>
      <w:r>
        <w:rPr>
          <w:rFonts w:cs="Arial"/>
        </w:rPr>
        <w:t>However, it should be noted that the provision of the scheme contributes towards the financial inclusion of many of OCC and OCHL’s tenants.</w:t>
      </w:r>
    </w:p>
    <w:p w14:paraId="62276CC7" w14:textId="77777777" w:rsidR="000D63F3" w:rsidRDefault="000D63F3" w:rsidP="00407650">
      <w:pPr>
        <w:pStyle w:val="ListParagraph"/>
        <w:numPr>
          <w:ilvl w:val="0"/>
          <w:numId w:val="0"/>
        </w:numPr>
        <w:ind w:left="502"/>
        <w:rPr>
          <w:rFonts w:cs="Arial"/>
        </w:rPr>
      </w:pPr>
    </w:p>
    <w:p w14:paraId="1D84E703" w14:textId="77777777" w:rsidR="000D63F3" w:rsidRPr="00407650" w:rsidRDefault="000D63F3" w:rsidP="00407650">
      <w:pPr>
        <w:spacing w:after="0"/>
        <w:rPr>
          <w:rFonts w:cs="Arial"/>
          <w:b/>
        </w:rPr>
      </w:pPr>
      <w:r w:rsidRPr="00407650">
        <w:rPr>
          <w:rFonts w:cs="Arial"/>
          <w:b/>
        </w:rPr>
        <w:t>Conclusion</w:t>
      </w:r>
    </w:p>
    <w:p w14:paraId="0E9F13F7" w14:textId="77777777" w:rsidR="00857E81" w:rsidRDefault="00857E81" w:rsidP="00407650">
      <w:pPr>
        <w:pStyle w:val="ListParagraph"/>
        <w:numPr>
          <w:ilvl w:val="0"/>
          <w:numId w:val="46"/>
        </w:numPr>
        <w:tabs>
          <w:tab w:val="left" w:pos="709"/>
        </w:tabs>
      </w:pPr>
      <w:r>
        <w:t xml:space="preserve">The Furnished Tenancy Team require a new contract to be procured for </w:t>
      </w:r>
      <w:r w:rsidR="00AC01F2">
        <w:t xml:space="preserve">the provision of </w:t>
      </w:r>
      <w:r>
        <w:t>Household</w:t>
      </w:r>
      <w:r w:rsidR="00AC01F2">
        <w:t xml:space="preserve"> G</w:t>
      </w:r>
      <w:r>
        <w:t>o</w:t>
      </w:r>
      <w:r w:rsidR="00AC01F2">
        <w:t>ods and Furnishings</w:t>
      </w:r>
      <w:r>
        <w:t xml:space="preserve"> to Council and OCHL tenants.</w:t>
      </w:r>
    </w:p>
    <w:p w14:paraId="07CDB537" w14:textId="77777777" w:rsidR="00E206D6" w:rsidRDefault="00AC01F2" w:rsidP="00407650">
      <w:pPr>
        <w:pStyle w:val="ListParagraph"/>
        <w:numPr>
          <w:ilvl w:val="0"/>
          <w:numId w:val="46"/>
        </w:numPr>
        <w:tabs>
          <w:tab w:val="left" w:pos="709"/>
        </w:tabs>
      </w:pPr>
      <w:r>
        <w:t>In order to comply with Public Procurement Regulations and the Oxford City Council Constitution</w:t>
      </w:r>
      <w:r w:rsidR="007E6942">
        <w:t>, officers</w:t>
      </w:r>
      <w:r w:rsidR="00ED3EE1">
        <w:t xml:space="preserve"> </w:t>
      </w:r>
      <w:r>
        <w:t xml:space="preserve">are seeking authority </w:t>
      </w:r>
      <w:r w:rsidR="007E6942">
        <w:t>to</w:t>
      </w:r>
      <w:r w:rsidRPr="00407650">
        <w:rPr>
          <w:color w:val="auto"/>
        </w:rPr>
        <w:t xml:space="preserve"> procur</w:t>
      </w:r>
      <w:r w:rsidR="007E6942" w:rsidRPr="00407650">
        <w:rPr>
          <w:color w:val="auto"/>
        </w:rPr>
        <w:t>e</w:t>
      </w:r>
      <w:r w:rsidRPr="00407650">
        <w:rPr>
          <w:color w:val="auto"/>
        </w:rPr>
        <w:t xml:space="preserve"> a Furnished Tenancy Scheme and </w:t>
      </w:r>
      <w:r w:rsidR="007E6942" w:rsidRPr="00407650">
        <w:rPr>
          <w:color w:val="auto"/>
        </w:rPr>
        <w:t xml:space="preserve">to </w:t>
      </w:r>
      <w:r w:rsidR="007E6942">
        <w:t>d</w:t>
      </w:r>
      <w:r w:rsidRPr="00AC01F2">
        <w:t>elegate to</w:t>
      </w:r>
      <w:r>
        <w:t xml:space="preserve"> the </w:t>
      </w:r>
      <w:r w:rsidRPr="001B3993">
        <w:t xml:space="preserve">Director </w:t>
      </w:r>
      <w:r>
        <w:t>of Housing</w:t>
      </w:r>
      <w:r w:rsidR="00D76557">
        <w:t xml:space="preserve"> in consultation with the Section 151 Officer,</w:t>
      </w:r>
      <w:r w:rsidR="007E6942">
        <w:t xml:space="preserve"> the</w:t>
      </w:r>
      <w:r w:rsidR="00ED3EE1">
        <w:t xml:space="preserve"> </w:t>
      </w:r>
      <w:r>
        <w:t>authority to award the contract to a supplier selected by an evaluation panel following a fully compliant procurement process.</w:t>
      </w:r>
    </w:p>
    <w:p w14:paraId="79ADA138"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05DC1141"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50EE1EC"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6FDE8E2" w14:textId="77777777" w:rsidR="00E87F7A" w:rsidRPr="001356F1" w:rsidRDefault="003F7A58" w:rsidP="00A46E98">
            <w:r>
              <w:t>Matt Stevenson &amp; Carolyn Devenney</w:t>
            </w:r>
          </w:p>
        </w:tc>
      </w:tr>
      <w:tr w:rsidR="00DF093E" w:rsidRPr="001356F1" w14:paraId="6979B5ED"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68E947F"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06E3BA96" w14:textId="77777777" w:rsidR="00E87F7A" w:rsidRPr="001356F1" w:rsidRDefault="003F7A58" w:rsidP="00A46E98">
            <w:r>
              <w:t>Contracts &amp; Procurement Specialist and Senior Furnished Tenancy Officer</w:t>
            </w:r>
          </w:p>
        </w:tc>
      </w:tr>
      <w:tr w:rsidR="00DF093E" w:rsidRPr="001356F1" w14:paraId="22FDC05A" w14:textId="77777777" w:rsidTr="00A46E98">
        <w:trPr>
          <w:cantSplit/>
          <w:trHeight w:val="396"/>
        </w:trPr>
        <w:tc>
          <w:tcPr>
            <w:tcW w:w="3969" w:type="dxa"/>
            <w:tcBorders>
              <w:top w:val="nil"/>
              <w:left w:val="single" w:sz="8" w:space="0" w:color="000000"/>
              <w:bottom w:val="nil"/>
              <w:right w:val="nil"/>
            </w:tcBorders>
            <w:shd w:val="clear" w:color="auto" w:fill="auto"/>
          </w:tcPr>
          <w:p w14:paraId="7D453018"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6252F13E" w14:textId="77777777" w:rsidR="00E87F7A" w:rsidRPr="001356F1" w:rsidRDefault="003F7A58" w:rsidP="00A46E98">
            <w:r>
              <w:t>Housing and Property</w:t>
            </w:r>
          </w:p>
        </w:tc>
      </w:tr>
      <w:tr w:rsidR="00DF093E" w:rsidRPr="001356F1" w14:paraId="56F8030B" w14:textId="77777777" w:rsidTr="00A46E98">
        <w:trPr>
          <w:cantSplit/>
          <w:trHeight w:val="396"/>
        </w:trPr>
        <w:tc>
          <w:tcPr>
            <w:tcW w:w="3969" w:type="dxa"/>
            <w:tcBorders>
              <w:top w:val="nil"/>
              <w:left w:val="single" w:sz="8" w:space="0" w:color="000000"/>
              <w:bottom w:val="nil"/>
              <w:right w:val="nil"/>
            </w:tcBorders>
            <w:shd w:val="clear" w:color="auto" w:fill="auto"/>
          </w:tcPr>
          <w:p w14:paraId="7BC8F497"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675C3206" w14:textId="77777777" w:rsidR="00E87F7A" w:rsidRPr="001356F1" w:rsidRDefault="00E87F7A" w:rsidP="00FE1B64">
            <w:r w:rsidRPr="001356F1">
              <w:t xml:space="preserve">01865 </w:t>
            </w:r>
            <w:r w:rsidR="00FE1B64">
              <w:t>252286</w:t>
            </w:r>
            <w:r w:rsidRPr="001356F1">
              <w:t xml:space="preserve"> </w:t>
            </w:r>
          </w:p>
        </w:tc>
      </w:tr>
      <w:tr w:rsidR="005570B5" w:rsidRPr="001356F1" w14:paraId="2388596D"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399A84C"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8DA2348" w14:textId="77777777" w:rsidR="00E87F7A" w:rsidRPr="001356F1" w:rsidRDefault="00FE1B64" w:rsidP="00A46E98">
            <w:pPr>
              <w:rPr>
                <w:rStyle w:val="Hyperlink"/>
                <w:color w:val="000000"/>
              </w:rPr>
            </w:pPr>
            <w:r>
              <w:rPr>
                <w:rStyle w:val="Hyperlink"/>
                <w:color w:val="000000"/>
              </w:rPr>
              <w:t>cdevenney@oxford.gov.uk</w:t>
            </w:r>
          </w:p>
        </w:tc>
      </w:tr>
    </w:tbl>
    <w:p w14:paraId="40DB5D06"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3DD8A653"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3A8C9263"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3B718722" w14:textId="77777777" w:rsidR="00CE4C87" w:rsidRDefault="00CE4C87" w:rsidP="0093067A"/>
    <w:sectPr w:rsidR="00CE4C87"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EBB3E" w14:textId="77777777" w:rsidR="00426EFF" w:rsidRDefault="00426EFF" w:rsidP="004A6D2F">
      <w:r>
        <w:separator/>
      </w:r>
    </w:p>
  </w:endnote>
  <w:endnote w:type="continuationSeparator" w:id="0">
    <w:p w14:paraId="30C6BE5F" w14:textId="77777777" w:rsidR="00426EFF" w:rsidRDefault="00426EF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3D069" w14:textId="77777777" w:rsidR="00364FAD" w:rsidRDefault="00364FAD" w:rsidP="004A6D2F">
    <w:pPr>
      <w:pStyle w:val="Footer"/>
    </w:pPr>
    <w:r>
      <w:t>Do not use a footer or page numbers.</w:t>
    </w:r>
  </w:p>
  <w:p w14:paraId="0A3F1B1F" w14:textId="77777777" w:rsidR="00364FAD" w:rsidRDefault="00364FAD" w:rsidP="004A6D2F">
    <w:pPr>
      <w:pStyle w:val="Footer"/>
    </w:pPr>
  </w:p>
  <w:p w14:paraId="320038F9"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349DF"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A9123" w14:textId="77777777" w:rsidR="00426EFF" w:rsidRDefault="00426EFF" w:rsidP="004A6D2F">
      <w:r>
        <w:separator/>
      </w:r>
    </w:p>
  </w:footnote>
  <w:footnote w:type="continuationSeparator" w:id="0">
    <w:p w14:paraId="63D75D95" w14:textId="77777777" w:rsidR="00426EFF" w:rsidRDefault="00426EF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06C20" w14:textId="77777777" w:rsidR="00D5547E" w:rsidRDefault="001638B5" w:rsidP="00D5547E">
    <w:pPr>
      <w:pStyle w:val="Header"/>
      <w:jc w:val="right"/>
    </w:pPr>
    <w:r>
      <w:rPr>
        <w:noProof/>
      </w:rPr>
      <w:drawing>
        <wp:inline distT="0" distB="0" distL="0" distR="0" wp14:anchorId="173E3B83" wp14:editId="497DCB09">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6F64B0E"/>
    <w:multiLevelType w:val="hybridMultilevel"/>
    <w:tmpl w:val="276A8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8D91F59"/>
    <w:multiLevelType w:val="hybridMultilevel"/>
    <w:tmpl w:val="A21E0384"/>
    <w:lvl w:ilvl="0" w:tplc="1C8A592A">
      <w:start w:val="2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C8E5B35"/>
    <w:multiLevelType w:val="hybridMultilevel"/>
    <w:tmpl w:val="9934E9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2263A6A"/>
    <w:multiLevelType w:val="multilevel"/>
    <w:tmpl w:val="43D6D2FA"/>
    <w:numStyleLink w:val="StyleBulletedSymbolsymbolLeft063cmHanging063cm"/>
  </w:abstractNum>
  <w:abstractNum w:abstractNumId="21" w15:restartNumberingAfterBreak="0">
    <w:nsid w:val="23983312"/>
    <w:multiLevelType w:val="hybridMultilevel"/>
    <w:tmpl w:val="0C44F6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5A72631"/>
    <w:multiLevelType w:val="hybridMultilevel"/>
    <w:tmpl w:val="DE7CCC5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2D106F"/>
    <w:multiLevelType w:val="hybridMultilevel"/>
    <w:tmpl w:val="385A4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1BF0B99"/>
    <w:multiLevelType w:val="hybridMultilevel"/>
    <w:tmpl w:val="FBB4BC3E"/>
    <w:lvl w:ilvl="0" w:tplc="1A302B92">
      <w:start w:val="13"/>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31062C"/>
    <w:multiLevelType w:val="hybridMultilevel"/>
    <w:tmpl w:val="C902C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BA5FD8"/>
    <w:multiLevelType w:val="multilevel"/>
    <w:tmpl w:val="43D6D2FA"/>
    <w:numStyleLink w:val="StyleBulletedSymbolsymbolLeft063cmHanging063cm"/>
  </w:abstractNum>
  <w:abstractNum w:abstractNumId="35"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A22831"/>
    <w:multiLevelType w:val="multilevel"/>
    <w:tmpl w:val="43D6D2FA"/>
    <w:numStyleLink w:val="StyleBulletedSymbolsymbolLeft063cmHanging063cm"/>
  </w:abstractNum>
  <w:abstractNum w:abstractNumId="37" w15:restartNumberingAfterBreak="0">
    <w:nsid w:val="64C060B9"/>
    <w:multiLevelType w:val="hybridMultilevel"/>
    <w:tmpl w:val="B6C2A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45744B"/>
    <w:multiLevelType w:val="hybridMultilevel"/>
    <w:tmpl w:val="7D84AC5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073407D"/>
    <w:multiLevelType w:val="hybridMultilevel"/>
    <w:tmpl w:val="E2F68CCE"/>
    <w:lvl w:ilvl="0" w:tplc="266A3090">
      <w:start w:val="13"/>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8365C6"/>
    <w:multiLevelType w:val="multilevel"/>
    <w:tmpl w:val="61789DA2"/>
    <w:lvl w:ilvl="0">
      <w:start w:val="10"/>
      <w:numFmt w:val="decimal"/>
      <w:pStyle w:val="ListParagraph"/>
      <w:lvlText w:val="%1."/>
      <w:lvlJc w:val="left"/>
      <w:pPr>
        <w:ind w:left="644"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7B677DE6"/>
    <w:multiLevelType w:val="hybridMultilevel"/>
    <w:tmpl w:val="97F88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9039E3"/>
    <w:multiLevelType w:val="hybridMultilevel"/>
    <w:tmpl w:val="F3A8F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9"/>
  </w:num>
  <w:num w:numId="3">
    <w:abstractNumId w:val="30"/>
  </w:num>
  <w:num w:numId="4">
    <w:abstractNumId w:val="23"/>
  </w:num>
  <w:num w:numId="5">
    <w:abstractNumId w:val="35"/>
  </w:num>
  <w:num w:numId="6">
    <w:abstractNumId w:val="41"/>
  </w:num>
  <w:num w:numId="7">
    <w:abstractNumId w:val="29"/>
  </w:num>
  <w:num w:numId="8">
    <w:abstractNumId w:val="25"/>
  </w:num>
  <w:num w:numId="9">
    <w:abstractNumId w:val="15"/>
  </w:num>
  <w:num w:numId="10">
    <w:abstractNumId w:val="18"/>
  </w:num>
  <w:num w:numId="11">
    <w:abstractNumId w:val="32"/>
  </w:num>
  <w:num w:numId="12">
    <w:abstractNumId w:val="31"/>
  </w:num>
  <w:num w:numId="13">
    <w:abstractNumId w:val="10"/>
  </w:num>
  <w:num w:numId="14">
    <w:abstractNumId w:val="43"/>
  </w:num>
  <w:num w:numId="15">
    <w:abstractNumId w:val="19"/>
  </w:num>
  <w:num w:numId="16">
    <w:abstractNumId w:val="11"/>
  </w:num>
  <w:num w:numId="17">
    <w:abstractNumId w:val="34"/>
  </w:num>
  <w:num w:numId="18">
    <w:abstractNumId w:val="12"/>
  </w:num>
  <w:num w:numId="19">
    <w:abstractNumId w:val="36"/>
  </w:num>
  <w:num w:numId="20">
    <w:abstractNumId w:val="20"/>
  </w:num>
  <w:num w:numId="21">
    <w:abstractNumId w:val="26"/>
  </w:num>
  <w:num w:numId="22">
    <w:abstractNumId w:val="16"/>
  </w:num>
  <w:num w:numId="23">
    <w:abstractNumId w:val="38"/>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44"/>
  </w:num>
  <w:num w:numId="35">
    <w:abstractNumId w:val="21"/>
  </w:num>
  <w:num w:numId="36">
    <w:abstractNumId w:val="27"/>
  </w:num>
  <w:num w:numId="37">
    <w:abstractNumId w:val="43"/>
  </w:num>
  <w:num w:numId="38">
    <w:abstractNumId w:val="43"/>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40"/>
  </w:num>
  <w:num w:numId="41">
    <w:abstractNumId w:val="13"/>
  </w:num>
  <w:num w:numId="42">
    <w:abstractNumId w:val="14"/>
  </w:num>
  <w:num w:numId="43">
    <w:abstractNumId w:val="42"/>
  </w:num>
  <w:num w:numId="44">
    <w:abstractNumId w:val="37"/>
  </w:num>
  <w:num w:numId="45">
    <w:abstractNumId w:val="45"/>
  </w:num>
  <w:num w:numId="46">
    <w:abstractNumId w:val="28"/>
  </w:num>
  <w:num w:numId="47">
    <w:abstractNumId w:val="24"/>
  </w:num>
  <w:num w:numId="4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AA"/>
    <w:rsid w:val="00007260"/>
    <w:rsid w:val="000117D4"/>
    <w:rsid w:val="00020DCD"/>
    <w:rsid w:val="000314D7"/>
    <w:rsid w:val="00031825"/>
    <w:rsid w:val="000337E3"/>
    <w:rsid w:val="00042254"/>
    <w:rsid w:val="00045F8B"/>
    <w:rsid w:val="00046D2B"/>
    <w:rsid w:val="00056263"/>
    <w:rsid w:val="00064D8A"/>
    <w:rsid w:val="00064F82"/>
    <w:rsid w:val="00066510"/>
    <w:rsid w:val="00077523"/>
    <w:rsid w:val="000902DB"/>
    <w:rsid w:val="000C089F"/>
    <w:rsid w:val="000C3928"/>
    <w:rsid w:val="000C5E8E"/>
    <w:rsid w:val="000D016F"/>
    <w:rsid w:val="000D0CE2"/>
    <w:rsid w:val="000D63F3"/>
    <w:rsid w:val="000E5C2D"/>
    <w:rsid w:val="000F4751"/>
    <w:rsid w:val="0010524C"/>
    <w:rsid w:val="00111FB1"/>
    <w:rsid w:val="00113418"/>
    <w:rsid w:val="00117125"/>
    <w:rsid w:val="00117F9D"/>
    <w:rsid w:val="001356F1"/>
    <w:rsid w:val="00136994"/>
    <w:rsid w:val="0014128E"/>
    <w:rsid w:val="00151888"/>
    <w:rsid w:val="00162D98"/>
    <w:rsid w:val="001638B5"/>
    <w:rsid w:val="00170A2D"/>
    <w:rsid w:val="001752AD"/>
    <w:rsid w:val="001808BC"/>
    <w:rsid w:val="00182B81"/>
    <w:rsid w:val="0018619D"/>
    <w:rsid w:val="00192816"/>
    <w:rsid w:val="001A011E"/>
    <w:rsid w:val="001A066A"/>
    <w:rsid w:val="001A13E6"/>
    <w:rsid w:val="001A5731"/>
    <w:rsid w:val="001A5DD0"/>
    <w:rsid w:val="001B42C3"/>
    <w:rsid w:val="001C5D5E"/>
    <w:rsid w:val="001D678D"/>
    <w:rsid w:val="001E03F8"/>
    <w:rsid w:val="001E1678"/>
    <w:rsid w:val="001E3376"/>
    <w:rsid w:val="001F0913"/>
    <w:rsid w:val="002069B3"/>
    <w:rsid w:val="002236A5"/>
    <w:rsid w:val="002329CF"/>
    <w:rsid w:val="00232F5B"/>
    <w:rsid w:val="00234E87"/>
    <w:rsid w:val="00247C29"/>
    <w:rsid w:val="00260467"/>
    <w:rsid w:val="00263EA3"/>
    <w:rsid w:val="00284F85"/>
    <w:rsid w:val="00290915"/>
    <w:rsid w:val="002A22E2"/>
    <w:rsid w:val="002B1EA7"/>
    <w:rsid w:val="002B205B"/>
    <w:rsid w:val="002C64F7"/>
    <w:rsid w:val="002D4396"/>
    <w:rsid w:val="002F41F2"/>
    <w:rsid w:val="00301BF3"/>
    <w:rsid w:val="0030208D"/>
    <w:rsid w:val="00310DFE"/>
    <w:rsid w:val="00323418"/>
    <w:rsid w:val="003319A4"/>
    <w:rsid w:val="003357BF"/>
    <w:rsid w:val="00364FAD"/>
    <w:rsid w:val="00365671"/>
    <w:rsid w:val="0036738F"/>
    <w:rsid w:val="0036759C"/>
    <w:rsid w:val="00367AE5"/>
    <w:rsid w:val="00367D71"/>
    <w:rsid w:val="00370034"/>
    <w:rsid w:val="00372CCE"/>
    <w:rsid w:val="0038150A"/>
    <w:rsid w:val="00383C32"/>
    <w:rsid w:val="003B27A7"/>
    <w:rsid w:val="003B6E75"/>
    <w:rsid w:val="003B7DA1"/>
    <w:rsid w:val="003C162C"/>
    <w:rsid w:val="003D0379"/>
    <w:rsid w:val="003D2574"/>
    <w:rsid w:val="003D4C59"/>
    <w:rsid w:val="003D7505"/>
    <w:rsid w:val="003E06E2"/>
    <w:rsid w:val="003F4267"/>
    <w:rsid w:val="003F7A58"/>
    <w:rsid w:val="00401D44"/>
    <w:rsid w:val="00401F9E"/>
    <w:rsid w:val="00404032"/>
    <w:rsid w:val="0040736F"/>
    <w:rsid w:val="00407650"/>
    <w:rsid w:val="00412C1F"/>
    <w:rsid w:val="00421CB2"/>
    <w:rsid w:val="004268B9"/>
    <w:rsid w:val="00426EFF"/>
    <w:rsid w:val="00433B96"/>
    <w:rsid w:val="004440F1"/>
    <w:rsid w:val="004456DD"/>
    <w:rsid w:val="00446CDF"/>
    <w:rsid w:val="004521B7"/>
    <w:rsid w:val="0046261A"/>
    <w:rsid w:val="00462AB5"/>
    <w:rsid w:val="00465EAF"/>
    <w:rsid w:val="004738C5"/>
    <w:rsid w:val="00491046"/>
    <w:rsid w:val="00496D1F"/>
    <w:rsid w:val="00497C74"/>
    <w:rsid w:val="004A2AC7"/>
    <w:rsid w:val="004A6D2F"/>
    <w:rsid w:val="004C2887"/>
    <w:rsid w:val="004D2626"/>
    <w:rsid w:val="004D6E26"/>
    <w:rsid w:val="004D77D3"/>
    <w:rsid w:val="004E2959"/>
    <w:rsid w:val="004F20EF"/>
    <w:rsid w:val="005012EB"/>
    <w:rsid w:val="0050321C"/>
    <w:rsid w:val="00504444"/>
    <w:rsid w:val="0054712D"/>
    <w:rsid w:val="00547EF6"/>
    <w:rsid w:val="005570B5"/>
    <w:rsid w:val="00567E18"/>
    <w:rsid w:val="00575F5F"/>
    <w:rsid w:val="00581805"/>
    <w:rsid w:val="00585F76"/>
    <w:rsid w:val="00597D1F"/>
    <w:rsid w:val="005A34E4"/>
    <w:rsid w:val="005B17F2"/>
    <w:rsid w:val="005B22DD"/>
    <w:rsid w:val="005B7FB0"/>
    <w:rsid w:val="005C35A5"/>
    <w:rsid w:val="005C4B4C"/>
    <w:rsid w:val="005C577C"/>
    <w:rsid w:val="005D0621"/>
    <w:rsid w:val="005D1E27"/>
    <w:rsid w:val="005D2A3E"/>
    <w:rsid w:val="005E022E"/>
    <w:rsid w:val="005E295D"/>
    <w:rsid w:val="005E5215"/>
    <w:rsid w:val="005F7F7E"/>
    <w:rsid w:val="00600933"/>
    <w:rsid w:val="006060E2"/>
    <w:rsid w:val="00613530"/>
    <w:rsid w:val="00614693"/>
    <w:rsid w:val="00623C2F"/>
    <w:rsid w:val="00633578"/>
    <w:rsid w:val="00637068"/>
    <w:rsid w:val="00650811"/>
    <w:rsid w:val="00654984"/>
    <w:rsid w:val="00661D3E"/>
    <w:rsid w:val="00692627"/>
    <w:rsid w:val="00694445"/>
    <w:rsid w:val="006969E7"/>
    <w:rsid w:val="006A3643"/>
    <w:rsid w:val="006A39AA"/>
    <w:rsid w:val="006B2C1B"/>
    <w:rsid w:val="006B64D9"/>
    <w:rsid w:val="006C2A29"/>
    <w:rsid w:val="006C64CF"/>
    <w:rsid w:val="006C707E"/>
    <w:rsid w:val="006D17B1"/>
    <w:rsid w:val="006D4752"/>
    <w:rsid w:val="006D54D4"/>
    <w:rsid w:val="006D708A"/>
    <w:rsid w:val="006E14C1"/>
    <w:rsid w:val="006F0292"/>
    <w:rsid w:val="006F27FA"/>
    <w:rsid w:val="006F416B"/>
    <w:rsid w:val="006F519B"/>
    <w:rsid w:val="0070663A"/>
    <w:rsid w:val="00713675"/>
    <w:rsid w:val="00715823"/>
    <w:rsid w:val="00737B93"/>
    <w:rsid w:val="00745631"/>
    <w:rsid w:val="00745BF0"/>
    <w:rsid w:val="00754551"/>
    <w:rsid w:val="007615FE"/>
    <w:rsid w:val="0076655C"/>
    <w:rsid w:val="007742DC"/>
    <w:rsid w:val="00791437"/>
    <w:rsid w:val="007941C7"/>
    <w:rsid w:val="00797B92"/>
    <w:rsid w:val="007B0C2C"/>
    <w:rsid w:val="007B278E"/>
    <w:rsid w:val="007B6200"/>
    <w:rsid w:val="007C5C23"/>
    <w:rsid w:val="007E2A26"/>
    <w:rsid w:val="007E668D"/>
    <w:rsid w:val="007E6942"/>
    <w:rsid w:val="007F2348"/>
    <w:rsid w:val="00803F07"/>
    <w:rsid w:val="0080749A"/>
    <w:rsid w:val="00821FB8"/>
    <w:rsid w:val="00822ACD"/>
    <w:rsid w:val="00831EDC"/>
    <w:rsid w:val="0083779D"/>
    <w:rsid w:val="00855C66"/>
    <w:rsid w:val="00855EB3"/>
    <w:rsid w:val="00857E81"/>
    <w:rsid w:val="0086398E"/>
    <w:rsid w:val="00871EE4"/>
    <w:rsid w:val="00890402"/>
    <w:rsid w:val="008B293F"/>
    <w:rsid w:val="008B7371"/>
    <w:rsid w:val="008B7E29"/>
    <w:rsid w:val="008D3DDB"/>
    <w:rsid w:val="008E40DF"/>
    <w:rsid w:val="008E52BE"/>
    <w:rsid w:val="008F573F"/>
    <w:rsid w:val="009034EC"/>
    <w:rsid w:val="0093067A"/>
    <w:rsid w:val="00935A80"/>
    <w:rsid w:val="00941C60"/>
    <w:rsid w:val="00941FD1"/>
    <w:rsid w:val="0094221F"/>
    <w:rsid w:val="009515C4"/>
    <w:rsid w:val="00961226"/>
    <w:rsid w:val="00966D42"/>
    <w:rsid w:val="00971689"/>
    <w:rsid w:val="00973E90"/>
    <w:rsid w:val="00975B07"/>
    <w:rsid w:val="00980B4A"/>
    <w:rsid w:val="009E3D0A"/>
    <w:rsid w:val="009E51FC"/>
    <w:rsid w:val="009F1D28"/>
    <w:rsid w:val="009F7618"/>
    <w:rsid w:val="00A04B40"/>
    <w:rsid w:val="00A04D23"/>
    <w:rsid w:val="00A06766"/>
    <w:rsid w:val="00A13765"/>
    <w:rsid w:val="00A21B12"/>
    <w:rsid w:val="00A23F80"/>
    <w:rsid w:val="00A3218F"/>
    <w:rsid w:val="00A46E98"/>
    <w:rsid w:val="00A53DD4"/>
    <w:rsid w:val="00A605D7"/>
    <w:rsid w:val="00A6352B"/>
    <w:rsid w:val="00A701B5"/>
    <w:rsid w:val="00A714BB"/>
    <w:rsid w:val="00A77147"/>
    <w:rsid w:val="00A92D8F"/>
    <w:rsid w:val="00AB2988"/>
    <w:rsid w:val="00AB7999"/>
    <w:rsid w:val="00AC01F2"/>
    <w:rsid w:val="00AD3292"/>
    <w:rsid w:val="00AE7AF0"/>
    <w:rsid w:val="00B055B5"/>
    <w:rsid w:val="00B21150"/>
    <w:rsid w:val="00B22B8E"/>
    <w:rsid w:val="00B247BB"/>
    <w:rsid w:val="00B40F85"/>
    <w:rsid w:val="00B500CA"/>
    <w:rsid w:val="00B7640C"/>
    <w:rsid w:val="00B8140C"/>
    <w:rsid w:val="00B86314"/>
    <w:rsid w:val="00BA1C2E"/>
    <w:rsid w:val="00BB79CB"/>
    <w:rsid w:val="00BC200B"/>
    <w:rsid w:val="00BC4756"/>
    <w:rsid w:val="00BC56A2"/>
    <w:rsid w:val="00BC69A4"/>
    <w:rsid w:val="00BE0680"/>
    <w:rsid w:val="00BE305F"/>
    <w:rsid w:val="00BE7BA3"/>
    <w:rsid w:val="00BF5682"/>
    <w:rsid w:val="00BF7B09"/>
    <w:rsid w:val="00C1237E"/>
    <w:rsid w:val="00C20A95"/>
    <w:rsid w:val="00C2692F"/>
    <w:rsid w:val="00C3207C"/>
    <w:rsid w:val="00C400E1"/>
    <w:rsid w:val="00C41187"/>
    <w:rsid w:val="00C52068"/>
    <w:rsid w:val="00C63C31"/>
    <w:rsid w:val="00C64BC8"/>
    <w:rsid w:val="00C757A0"/>
    <w:rsid w:val="00C760DE"/>
    <w:rsid w:val="00C82630"/>
    <w:rsid w:val="00C85B4E"/>
    <w:rsid w:val="00C907F7"/>
    <w:rsid w:val="00CA2103"/>
    <w:rsid w:val="00CB5749"/>
    <w:rsid w:val="00CB6B99"/>
    <w:rsid w:val="00CC30D7"/>
    <w:rsid w:val="00CC3494"/>
    <w:rsid w:val="00CC7F9D"/>
    <w:rsid w:val="00CD7026"/>
    <w:rsid w:val="00CE4C87"/>
    <w:rsid w:val="00CE504A"/>
    <w:rsid w:val="00CE544A"/>
    <w:rsid w:val="00D038FD"/>
    <w:rsid w:val="00D11E1C"/>
    <w:rsid w:val="00D160B0"/>
    <w:rsid w:val="00D16749"/>
    <w:rsid w:val="00D17F94"/>
    <w:rsid w:val="00D223FC"/>
    <w:rsid w:val="00D26D1E"/>
    <w:rsid w:val="00D431EE"/>
    <w:rsid w:val="00D45AA2"/>
    <w:rsid w:val="00D474CF"/>
    <w:rsid w:val="00D5547E"/>
    <w:rsid w:val="00D76557"/>
    <w:rsid w:val="00D860E2"/>
    <w:rsid w:val="00D869A1"/>
    <w:rsid w:val="00DA413F"/>
    <w:rsid w:val="00DA4584"/>
    <w:rsid w:val="00DA614B"/>
    <w:rsid w:val="00DB7AD7"/>
    <w:rsid w:val="00DC3060"/>
    <w:rsid w:val="00DD3E25"/>
    <w:rsid w:val="00DE0FB2"/>
    <w:rsid w:val="00DF093E"/>
    <w:rsid w:val="00E01F42"/>
    <w:rsid w:val="00E115A8"/>
    <w:rsid w:val="00E206D6"/>
    <w:rsid w:val="00E3366E"/>
    <w:rsid w:val="00E515E8"/>
    <w:rsid w:val="00E52086"/>
    <w:rsid w:val="00E543A6"/>
    <w:rsid w:val="00E60479"/>
    <w:rsid w:val="00E61D73"/>
    <w:rsid w:val="00E73684"/>
    <w:rsid w:val="00E818D6"/>
    <w:rsid w:val="00E8193D"/>
    <w:rsid w:val="00E87F7A"/>
    <w:rsid w:val="00E94B3E"/>
    <w:rsid w:val="00E96BD7"/>
    <w:rsid w:val="00EA0DB1"/>
    <w:rsid w:val="00EA0EE9"/>
    <w:rsid w:val="00EC73C8"/>
    <w:rsid w:val="00ED3EE1"/>
    <w:rsid w:val="00ED52CA"/>
    <w:rsid w:val="00ED5860"/>
    <w:rsid w:val="00EE35C9"/>
    <w:rsid w:val="00F05ECA"/>
    <w:rsid w:val="00F3207E"/>
    <w:rsid w:val="00F3451F"/>
    <w:rsid w:val="00F3566E"/>
    <w:rsid w:val="00F375FB"/>
    <w:rsid w:val="00F41AC1"/>
    <w:rsid w:val="00F4367A"/>
    <w:rsid w:val="00F439D1"/>
    <w:rsid w:val="00F445B1"/>
    <w:rsid w:val="00F45CD4"/>
    <w:rsid w:val="00F66DCA"/>
    <w:rsid w:val="00F74F53"/>
    <w:rsid w:val="00F7606D"/>
    <w:rsid w:val="00F81670"/>
    <w:rsid w:val="00F82024"/>
    <w:rsid w:val="00F95BC9"/>
    <w:rsid w:val="00FA624C"/>
    <w:rsid w:val="00FB2C1F"/>
    <w:rsid w:val="00FD0FAC"/>
    <w:rsid w:val="00FD1DFA"/>
    <w:rsid w:val="00FD4966"/>
    <w:rsid w:val="00FE1B64"/>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097830E"/>
  <w15:docId w15:val="{EDD0F828-8640-4825-B40B-F3691D15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37"/>
      </w:numPr>
      <w:tabs>
        <w:tab w:val="left" w:pos="426"/>
      </w:tabs>
      <w:ind w:left="502"/>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99"/>
    <w:semiHidden/>
    <w:unhideWhenUsed/>
    <w:rsid w:val="00B40F85"/>
    <w:pPr>
      <w:spacing w:after="240" w:line="240" w:lineRule="atLeast"/>
    </w:pPr>
    <w:rPr>
      <w:rFonts w:eastAsiaTheme="minorHAnsi" w:cs="Arial"/>
      <w:color w:val="auto"/>
      <w:sz w:val="20"/>
      <w:szCs w:val="20"/>
    </w:rPr>
  </w:style>
  <w:style w:type="character" w:customStyle="1" w:styleId="BodyTextChar">
    <w:name w:val="Body Text Char"/>
    <w:basedOn w:val="DefaultParagraphFont"/>
    <w:link w:val="BodyText"/>
    <w:uiPriority w:val="99"/>
    <w:semiHidden/>
    <w:rsid w:val="00B40F85"/>
    <w:rPr>
      <w:rFonts w:eastAsiaTheme="minorHAnsi" w:cs="Arial"/>
    </w:rPr>
  </w:style>
  <w:style w:type="character" w:customStyle="1" w:styleId="hgkelc">
    <w:name w:val="hgkelc"/>
    <w:basedOn w:val="DefaultParagraphFont"/>
    <w:rsid w:val="00462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029929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3686895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6702628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09503751">
      <w:bodyDiv w:val="1"/>
      <w:marLeft w:val="0"/>
      <w:marRight w:val="0"/>
      <w:marTop w:val="0"/>
      <w:marBottom w:val="0"/>
      <w:divBdr>
        <w:top w:val="none" w:sz="0" w:space="0" w:color="auto"/>
        <w:left w:val="none" w:sz="0" w:space="0" w:color="auto"/>
        <w:bottom w:val="none" w:sz="0" w:space="0" w:color="auto"/>
        <w:right w:val="none" w:sz="0" w:space="0" w:color="auto"/>
      </w:divBdr>
    </w:div>
    <w:div w:id="1807310382">
      <w:bodyDiv w:val="1"/>
      <w:marLeft w:val="0"/>
      <w:marRight w:val="0"/>
      <w:marTop w:val="0"/>
      <w:marBottom w:val="0"/>
      <w:divBdr>
        <w:top w:val="none" w:sz="0" w:space="0" w:color="auto"/>
        <w:left w:val="none" w:sz="0" w:space="0" w:color="auto"/>
        <w:bottom w:val="none" w:sz="0" w:space="0" w:color="auto"/>
        <w:right w:val="none" w:sz="0" w:space="0" w:color="auto"/>
      </w:divBdr>
    </w:div>
    <w:div w:id="195605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4FB2B5-711A-4059-8656-74EC2FE6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6B98F38E</Template>
  <TotalTime>3</TotalTime>
  <Pages>5</Pages>
  <Words>1433</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cdevenney</dc:creator>
  <cp:lastModifiedBy>MITCHELL John</cp:lastModifiedBy>
  <cp:revision>4</cp:revision>
  <cp:lastPrinted>2015-07-03T12:50:00Z</cp:lastPrinted>
  <dcterms:created xsi:type="dcterms:W3CDTF">2021-03-25T14:48:00Z</dcterms:created>
  <dcterms:modified xsi:type="dcterms:W3CDTF">2021-04-01T08:15:00Z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